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22B" w:rsidRPr="0068722B" w:rsidRDefault="0068722B" w:rsidP="0068722B">
      <w:pPr>
        <w:spacing w:line="259" w:lineRule="auto"/>
        <w:rPr>
          <w:rFonts w:ascii="Arial" w:eastAsia="Calibri" w:hAnsi="Arial" w:cs="Arial"/>
          <w:b/>
          <w:bCs/>
          <w:kern w:val="0"/>
          <w:lang w:val="en-GB"/>
          <w14:ligatures w14:val="none"/>
        </w:rPr>
      </w:pPr>
    </w:p>
    <w:p w:rsidR="0068722B" w:rsidRPr="0068722B" w:rsidRDefault="000D092B" w:rsidP="0068722B">
      <w:pPr>
        <w:pBdr>
          <w:top w:val="single" w:sz="6" w:space="7" w:color="auto"/>
          <w:left w:val="single" w:sz="6" w:space="7" w:color="auto"/>
          <w:bottom w:val="single" w:sz="6" w:space="31" w:color="auto"/>
          <w:right w:val="single" w:sz="6" w:space="7" w:color="auto"/>
        </w:pBdr>
        <w:tabs>
          <w:tab w:val="left" w:pos="2100"/>
          <w:tab w:val="center" w:pos="4536"/>
        </w:tabs>
        <w:overflowPunct w:val="0"/>
        <w:autoSpaceDE w:val="0"/>
        <w:autoSpaceDN w:val="0"/>
        <w:adjustRightInd w:val="0"/>
        <w:spacing w:after="240" w:line="240" w:lineRule="auto"/>
        <w:jc w:val="center"/>
        <w:textAlignment w:val="baseline"/>
        <w:rPr>
          <w:rFonts w:ascii="Arial" w:eastAsia="Times New Roman" w:hAnsi="Arial" w:cs="Arial"/>
          <w:b/>
          <w:kern w:val="0"/>
          <w:lang w:val="en-GB"/>
          <w14:ligatures w14:val="none"/>
        </w:rPr>
      </w:pPr>
      <w:r w:rsidRPr="0068722B">
        <w:rPr>
          <w:rFonts w:ascii="Arial" w:eastAsia="Times New Roman" w:hAnsi="Arial" w:cs="Arial"/>
          <w:b/>
          <w:kern w:val="0"/>
          <w:lang w:val="en-GB"/>
          <w14:ligatures w14:val="none"/>
        </w:rPr>
        <w:t>Model pledge</w:t>
      </w:r>
    </w:p>
    <w:p w:rsidR="0068722B" w:rsidRPr="0068722B" w:rsidRDefault="000D092B" w:rsidP="0068722B">
      <w:pPr>
        <w:pBdr>
          <w:top w:val="single" w:sz="6" w:space="7" w:color="auto"/>
          <w:left w:val="single" w:sz="6" w:space="7" w:color="auto"/>
          <w:bottom w:val="single" w:sz="6" w:space="31" w:color="auto"/>
          <w:right w:val="single" w:sz="6" w:space="7" w:color="auto"/>
        </w:pBdr>
        <w:tabs>
          <w:tab w:val="left" w:pos="2100"/>
          <w:tab w:val="center" w:pos="4536"/>
        </w:tabs>
        <w:overflowPunct w:val="0"/>
        <w:autoSpaceDE w:val="0"/>
        <w:autoSpaceDN w:val="0"/>
        <w:adjustRightInd w:val="0"/>
        <w:spacing w:after="240" w:line="240" w:lineRule="auto"/>
        <w:jc w:val="center"/>
        <w:textAlignment w:val="baseline"/>
        <w:outlineLvl w:val="0"/>
        <w:rPr>
          <w:rFonts w:ascii="Arial" w:eastAsia="Times New Roman" w:hAnsi="Arial" w:cs="Arial"/>
          <w:b/>
          <w:kern w:val="0"/>
          <w14:ligatures w14:val="none"/>
        </w:rPr>
      </w:pPr>
      <w:r w:rsidRPr="00C006EA">
        <w:rPr>
          <w:rFonts w:ascii="Arial" w:eastAsia="Times New Roman" w:hAnsi="Arial" w:cs="Arial"/>
          <w:b/>
          <w:bCs/>
          <w:kern w:val="0"/>
          <w14:ligatures w14:val="none"/>
        </w:rPr>
        <w:t>Promoting International Humanitarian Law and Strengthening National Implementation Capacities in Montenegro</w:t>
      </w:r>
    </w:p>
    <w:p w:rsidR="0068722B" w:rsidRPr="00C006EA" w:rsidRDefault="0068722B" w:rsidP="00DB5AA8">
      <w:pPr>
        <w:spacing w:before="100" w:beforeAutospacing="1" w:after="100" w:afterAutospacing="1" w:line="240" w:lineRule="auto"/>
        <w:rPr>
          <w:rFonts w:ascii="Arial" w:eastAsia="Times New Roman" w:hAnsi="Arial" w:cs="Arial"/>
          <w:b/>
          <w:bCs/>
          <w:kern w:val="0"/>
          <w14:ligatures w14:val="none"/>
        </w:rPr>
      </w:pPr>
    </w:p>
    <w:p w:rsidR="00DB5AA8" w:rsidRPr="00C006EA" w:rsidRDefault="000D092B" w:rsidP="00DB5AA8">
      <w:pPr>
        <w:spacing w:before="100" w:beforeAutospacing="1" w:after="100" w:afterAutospacing="1" w:line="240" w:lineRule="auto"/>
        <w:rPr>
          <w:rFonts w:ascii="Arial" w:eastAsia="Times New Roman" w:hAnsi="Arial" w:cs="Arial"/>
          <w:b/>
          <w:bCs/>
          <w:kern w:val="0"/>
          <w14:ligatures w14:val="none"/>
        </w:rPr>
      </w:pPr>
      <w:r w:rsidRPr="00C006EA">
        <w:rPr>
          <w:rFonts w:ascii="Arial" w:eastAsia="Times New Roman" w:hAnsi="Arial" w:cs="Arial"/>
          <w:b/>
          <w:bCs/>
          <w:kern w:val="0"/>
          <w14:ligatures w14:val="none"/>
        </w:rPr>
        <w:t>Proposed by:</w:t>
      </w:r>
      <w:r w:rsidRPr="00C006EA">
        <w:rPr>
          <w:rFonts w:ascii="Arial" w:eastAsia="Times New Roman" w:hAnsi="Arial" w:cs="Arial"/>
          <w:kern w:val="0"/>
          <w14:ligatures w14:val="none"/>
        </w:rPr>
        <w:t xml:space="preserve"> </w:t>
      </w:r>
      <w:r w:rsidRPr="002B7099">
        <w:rPr>
          <w:rFonts w:ascii="Arial" w:eastAsia="Times New Roman" w:hAnsi="Arial" w:cs="Arial"/>
          <w:kern w:val="0"/>
          <w14:ligatures w14:val="none"/>
        </w:rPr>
        <w:t>Government of Montenegro</w:t>
      </w:r>
      <w:r w:rsidR="002B7099">
        <w:rPr>
          <w:rFonts w:ascii="Arial" w:eastAsia="Times New Roman" w:hAnsi="Arial" w:cs="Arial"/>
          <w:kern w:val="0"/>
          <w14:ligatures w14:val="none"/>
        </w:rPr>
        <w:t xml:space="preserve"> and</w:t>
      </w:r>
      <w:r w:rsidR="002B7099" w:rsidRPr="002B7099">
        <w:t xml:space="preserve"> </w:t>
      </w:r>
      <w:r w:rsidR="002B7099" w:rsidRPr="002B7099">
        <w:rPr>
          <w:rFonts w:ascii="Arial" w:eastAsia="Times New Roman" w:hAnsi="Arial" w:cs="Arial"/>
          <w:kern w:val="0"/>
          <w14:ligatures w14:val="none"/>
        </w:rPr>
        <w:t xml:space="preserve">Red Cross of Montenegro </w:t>
      </w:r>
      <w:r w:rsidRPr="00C006EA">
        <w:rPr>
          <w:rFonts w:ascii="Arial" w:eastAsia="Times New Roman" w:hAnsi="Arial" w:cs="Arial"/>
          <w:kern w:val="0"/>
          <w14:ligatures w14:val="none"/>
        </w:rPr>
        <w:br/>
      </w:r>
      <w:r w:rsidRPr="00C006EA">
        <w:rPr>
          <w:rFonts w:ascii="Arial" w:eastAsia="Times New Roman" w:hAnsi="Arial" w:cs="Arial"/>
          <w:b/>
          <w:bCs/>
          <w:kern w:val="0"/>
          <w14:ligatures w14:val="none"/>
        </w:rPr>
        <w:t>Contact:</w:t>
      </w:r>
      <w:r w:rsidRPr="00C006EA">
        <w:rPr>
          <w:rFonts w:ascii="Arial" w:eastAsia="Times New Roman" w:hAnsi="Arial" w:cs="Arial"/>
          <w:kern w:val="0"/>
          <w14:ligatures w14:val="none"/>
        </w:rPr>
        <w:t xml:space="preserve"> </w:t>
      </w:r>
      <w:r w:rsidR="0024160F" w:rsidRPr="0024160F">
        <w:rPr>
          <w:rFonts w:ascii="Arial" w:eastAsia="Times New Roman" w:hAnsi="Arial" w:cs="Arial"/>
          <w:kern w:val="0"/>
          <w14:ligatures w14:val="none"/>
        </w:rPr>
        <w:t>Ministry of Foreign Affairs</w:t>
      </w:r>
      <w:r w:rsidRPr="00C006EA">
        <w:rPr>
          <w:rFonts w:ascii="Arial" w:eastAsia="Times New Roman" w:hAnsi="Arial" w:cs="Arial"/>
          <w:kern w:val="0"/>
          <w14:ligatures w14:val="none"/>
        </w:rPr>
        <w:br/>
      </w:r>
      <w:r w:rsidRPr="00C006EA">
        <w:rPr>
          <w:rFonts w:ascii="Arial" w:eastAsia="Times New Roman" w:hAnsi="Arial" w:cs="Arial"/>
          <w:b/>
          <w:bCs/>
          <w:kern w:val="0"/>
          <w14:ligatures w14:val="none"/>
        </w:rPr>
        <w:t>Email:</w:t>
      </w:r>
      <w:r w:rsidRPr="00C006EA">
        <w:rPr>
          <w:rFonts w:ascii="Arial" w:eastAsia="Times New Roman" w:hAnsi="Arial" w:cs="Arial"/>
          <w:kern w:val="0"/>
          <w14:ligatures w14:val="none"/>
        </w:rPr>
        <w:t xml:space="preserve"> </w:t>
      </w:r>
      <w:r w:rsidR="0024160F" w:rsidRPr="0024160F">
        <w:rPr>
          <w:rFonts w:ascii="Arial" w:eastAsia="Times New Roman" w:hAnsi="Arial" w:cs="Arial"/>
          <w:kern w:val="0"/>
          <w14:ligatures w14:val="none"/>
        </w:rPr>
        <w:t>kabinet@mfa.gov.me</w:t>
      </w:r>
    </w:p>
    <w:p w:rsidR="0068722B" w:rsidRPr="0068722B" w:rsidRDefault="000D092B" w:rsidP="0068722B">
      <w:pPr>
        <w:spacing w:line="259" w:lineRule="auto"/>
        <w:jc w:val="both"/>
        <w:rPr>
          <w:rFonts w:ascii="Arial" w:eastAsia="Calibri" w:hAnsi="Arial" w:cs="Arial"/>
          <w:i/>
          <w:iCs/>
          <w:color w:val="4472C4"/>
          <w:kern w:val="0"/>
          <w:lang w:val="en-GB"/>
          <w14:ligatures w14:val="none"/>
        </w:rPr>
      </w:pPr>
      <w:r w:rsidRPr="0068722B">
        <w:rPr>
          <w:rFonts w:ascii="Arial" w:eastAsia="Calibri" w:hAnsi="Arial" w:cs="Arial"/>
          <w:i/>
          <w:iCs/>
          <w:color w:val="4472C4"/>
          <w:kern w:val="0"/>
          <w:lang w:val="en-GB"/>
          <w14:ligatures w14:val="none"/>
        </w:rPr>
        <w:t xml:space="preserve">Note: This model pledge offers an array of potential actions that States, National Societies and observers can choose from to make their priority commitments. It gives a list of examples, which are not intended to be adopted in full. The proposed actions can be prioritized and adapted to the national context. </w:t>
      </w:r>
    </w:p>
    <w:p w:rsidR="0068722B" w:rsidRPr="00C006EA" w:rsidRDefault="0068722B" w:rsidP="00DB5AA8">
      <w:pPr>
        <w:spacing w:before="100" w:beforeAutospacing="1" w:after="100" w:afterAutospacing="1" w:line="240" w:lineRule="auto"/>
        <w:rPr>
          <w:rFonts w:ascii="Arial" w:eastAsia="Times New Roman" w:hAnsi="Arial" w:cs="Arial"/>
          <w:kern w:val="0"/>
          <w14:ligatures w14:val="none"/>
        </w:rPr>
      </w:pPr>
    </w:p>
    <w:p w:rsidR="003242B6" w:rsidRPr="003242B6" w:rsidRDefault="000D092B" w:rsidP="003242B6">
      <w:pPr>
        <w:jc w:val="both"/>
        <w:rPr>
          <w:rFonts w:ascii="Arial" w:eastAsia="Times New Roman" w:hAnsi="Arial" w:cs="Arial"/>
          <w:b/>
          <w:bCs/>
          <w:kern w:val="0"/>
          <w14:ligatures w14:val="none"/>
        </w:rPr>
      </w:pPr>
      <w:r w:rsidRPr="003242B6">
        <w:rPr>
          <w:rFonts w:ascii="Arial" w:eastAsia="Times New Roman" w:hAnsi="Arial" w:cs="Arial"/>
          <w:b/>
          <w:bCs/>
          <w:kern w:val="0"/>
          <w14:ligatures w14:val="none"/>
        </w:rPr>
        <w:t xml:space="preserve">A. </w:t>
      </w:r>
      <w:r w:rsidR="004244E1" w:rsidRPr="004244E1">
        <w:rPr>
          <w:rFonts w:ascii="Arial" w:eastAsia="Times New Roman" w:hAnsi="Arial" w:cs="Arial"/>
          <w:b/>
          <w:bCs/>
          <w:kern w:val="0"/>
          <w14:ligatures w14:val="none"/>
        </w:rPr>
        <w:t>Objective/introduction of the model text</w:t>
      </w:r>
    </w:p>
    <w:p w:rsidR="003242B6" w:rsidRPr="003242B6" w:rsidRDefault="000D092B" w:rsidP="003242B6">
      <w:pPr>
        <w:jc w:val="both"/>
        <w:rPr>
          <w:rFonts w:ascii="Arial" w:eastAsia="Times New Roman" w:hAnsi="Arial" w:cs="Arial"/>
          <w:kern w:val="0"/>
          <w14:ligatures w14:val="none"/>
        </w:rPr>
      </w:pPr>
      <w:r w:rsidRPr="003242B6">
        <w:rPr>
          <w:rFonts w:ascii="Arial" w:eastAsia="Times New Roman" w:hAnsi="Arial" w:cs="Arial"/>
          <w:kern w:val="0"/>
          <w14:ligatures w14:val="none"/>
        </w:rPr>
        <w:t xml:space="preserve">Unfortunately, we live in a time when </w:t>
      </w:r>
      <w:r>
        <w:rPr>
          <w:rFonts w:ascii="Arial" w:eastAsia="Times New Roman" w:hAnsi="Arial" w:cs="Arial"/>
          <w:kern w:val="0"/>
          <w14:ligatures w14:val="none"/>
        </w:rPr>
        <w:t>the world is</w:t>
      </w:r>
      <w:r w:rsidRPr="003242B6">
        <w:rPr>
          <w:rFonts w:ascii="Arial" w:eastAsia="Times New Roman" w:hAnsi="Arial" w:cs="Arial"/>
          <w:kern w:val="0"/>
          <w14:ligatures w14:val="none"/>
        </w:rPr>
        <w:t xml:space="preserve"> faced with numerous conflicts around the world, in which humanitarian law is often neglected, violated, and even used as a tactical instrument of warfare. Recognizing the importance of International Humanitarian Law (IHL) in mitigating human suffering during armed conflicts, and acknowledging the necessity of its effective implementation at the national level, Montenegro pledges to take concrete steps towards enhancing the dissemination, integration, and </w:t>
      </w:r>
      <w:r>
        <w:rPr>
          <w:rFonts w:ascii="Arial" w:eastAsia="Times New Roman" w:hAnsi="Arial" w:cs="Arial"/>
          <w:kern w:val="0"/>
          <w14:ligatures w14:val="none"/>
        </w:rPr>
        <w:t>implemenation</w:t>
      </w:r>
      <w:r w:rsidRPr="003242B6">
        <w:rPr>
          <w:rFonts w:ascii="Arial" w:eastAsia="Times New Roman" w:hAnsi="Arial" w:cs="Arial"/>
          <w:kern w:val="0"/>
          <w14:ligatures w14:val="none"/>
        </w:rPr>
        <w:t xml:space="preserve"> of IHL </w:t>
      </w:r>
      <w:r>
        <w:rPr>
          <w:rFonts w:ascii="Arial" w:eastAsia="Times New Roman" w:hAnsi="Arial" w:cs="Arial"/>
          <w:kern w:val="0"/>
          <w14:ligatures w14:val="none"/>
        </w:rPr>
        <w:t>at the national level</w:t>
      </w:r>
      <w:r w:rsidRPr="003242B6">
        <w:rPr>
          <w:rFonts w:ascii="Arial" w:eastAsia="Times New Roman" w:hAnsi="Arial" w:cs="Arial"/>
          <w:kern w:val="0"/>
          <w14:ligatures w14:val="none"/>
        </w:rPr>
        <w:t>.</w:t>
      </w:r>
    </w:p>
    <w:p w:rsidR="003242B6" w:rsidRPr="003242B6" w:rsidRDefault="000D092B" w:rsidP="003242B6">
      <w:pPr>
        <w:jc w:val="both"/>
        <w:rPr>
          <w:rFonts w:ascii="Arial" w:eastAsia="Times New Roman" w:hAnsi="Arial" w:cs="Arial"/>
          <w:kern w:val="0"/>
          <w14:ligatures w14:val="none"/>
        </w:rPr>
      </w:pPr>
      <w:r w:rsidRPr="003242B6">
        <w:rPr>
          <w:rFonts w:ascii="Arial" w:eastAsia="Times New Roman" w:hAnsi="Arial" w:cs="Arial"/>
          <w:kern w:val="0"/>
          <w14:ligatures w14:val="none"/>
        </w:rPr>
        <w:t>Considering the wide range of issues involving IHL, the comprehensive implementation of its rules requires coordination and support from all government and other relevant authorities. Montenegro has become the 120</w:t>
      </w:r>
      <w:r w:rsidRPr="003242B6">
        <w:rPr>
          <w:rFonts w:ascii="Arial" w:eastAsia="Times New Roman" w:hAnsi="Arial" w:cs="Arial"/>
          <w:kern w:val="0"/>
          <w:vertAlign w:val="superscript"/>
          <w14:ligatures w14:val="none"/>
        </w:rPr>
        <w:t>th</w:t>
      </w:r>
      <w:r w:rsidRPr="003242B6">
        <w:rPr>
          <w:rFonts w:ascii="Arial" w:eastAsia="Times New Roman" w:hAnsi="Arial" w:cs="Arial"/>
          <w:kern w:val="0"/>
          <w14:ligatures w14:val="none"/>
        </w:rPr>
        <w:t xml:space="preserve"> country to establish a Commission for Humanitarian Law, demonstrating its commitment and determination to promot</w:t>
      </w:r>
      <w:r w:rsidR="008D7016">
        <w:rPr>
          <w:rFonts w:ascii="Arial" w:eastAsia="Times New Roman" w:hAnsi="Arial" w:cs="Arial"/>
          <w:kern w:val="0"/>
          <w14:ligatures w14:val="none"/>
        </w:rPr>
        <w:t>e, disseminate and ensure compliance with</w:t>
      </w:r>
      <w:bookmarkStart w:id="0" w:name="_GoBack"/>
      <w:bookmarkEnd w:id="0"/>
      <w:r w:rsidR="008D7016">
        <w:rPr>
          <w:rFonts w:ascii="Arial" w:eastAsia="Times New Roman" w:hAnsi="Arial" w:cs="Arial"/>
          <w:kern w:val="0"/>
          <w14:ligatures w14:val="none"/>
        </w:rPr>
        <w:t xml:space="preserve"> IHL</w:t>
      </w:r>
      <w:r w:rsidRPr="003242B6">
        <w:rPr>
          <w:rFonts w:ascii="Arial" w:eastAsia="Times New Roman" w:hAnsi="Arial" w:cs="Arial"/>
          <w:kern w:val="0"/>
          <w14:ligatures w14:val="none"/>
        </w:rPr>
        <w:t>.</w:t>
      </w:r>
    </w:p>
    <w:p w:rsidR="003242B6" w:rsidRDefault="000D092B" w:rsidP="003242B6">
      <w:pPr>
        <w:jc w:val="both"/>
        <w:rPr>
          <w:rFonts w:ascii="Arial" w:eastAsia="Times New Roman" w:hAnsi="Arial" w:cs="Arial"/>
          <w:b/>
          <w:bCs/>
          <w:kern w:val="0"/>
          <w14:ligatures w14:val="none"/>
        </w:rPr>
      </w:pPr>
      <w:r w:rsidRPr="003242B6">
        <w:rPr>
          <w:rFonts w:ascii="Arial" w:eastAsia="Times New Roman" w:hAnsi="Arial" w:cs="Arial"/>
          <w:b/>
          <w:bCs/>
          <w:kern w:val="0"/>
          <w14:ligatures w14:val="none"/>
        </w:rPr>
        <w:t> </w:t>
      </w:r>
    </w:p>
    <w:p w:rsidR="003242B6" w:rsidRDefault="003242B6" w:rsidP="003242B6">
      <w:pPr>
        <w:jc w:val="both"/>
        <w:rPr>
          <w:rFonts w:ascii="Arial" w:eastAsia="Times New Roman" w:hAnsi="Arial" w:cs="Arial"/>
          <w:b/>
          <w:bCs/>
          <w:kern w:val="0"/>
          <w14:ligatures w14:val="none"/>
        </w:rPr>
      </w:pPr>
    </w:p>
    <w:p w:rsidR="003242B6" w:rsidRPr="003242B6" w:rsidRDefault="003242B6" w:rsidP="003242B6">
      <w:pPr>
        <w:jc w:val="both"/>
        <w:rPr>
          <w:rFonts w:ascii="Arial" w:eastAsia="Times New Roman" w:hAnsi="Arial" w:cs="Arial"/>
          <w:b/>
          <w:bCs/>
          <w:kern w:val="0"/>
          <w14:ligatures w14:val="none"/>
        </w:rPr>
      </w:pPr>
    </w:p>
    <w:p w:rsidR="003242B6" w:rsidRPr="003242B6" w:rsidRDefault="000D092B" w:rsidP="003242B6">
      <w:pPr>
        <w:jc w:val="both"/>
        <w:rPr>
          <w:rFonts w:ascii="Arial" w:eastAsia="Times New Roman" w:hAnsi="Arial" w:cs="Arial"/>
          <w:b/>
          <w:bCs/>
          <w:kern w:val="0"/>
          <w14:ligatures w14:val="none"/>
        </w:rPr>
      </w:pPr>
      <w:r w:rsidRPr="003242B6">
        <w:rPr>
          <w:rFonts w:ascii="Arial" w:eastAsia="Times New Roman" w:hAnsi="Arial" w:cs="Arial"/>
          <w:b/>
          <w:bCs/>
          <w:kern w:val="0"/>
          <w14:ligatures w14:val="none"/>
        </w:rPr>
        <w:lastRenderedPageBreak/>
        <w:t xml:space="preserve">B. </w:t>
      </w:r>
      <w:r w:rsidR="004244E1" w:rsidRPr="004244E1">
        <w:rPr>
          <w:rFonts w:ascii="Arial" w:eastAsia="Times New Roman" w:hAnsi="Arial" w:cs="Arial"/>
          <w:b/>
          <w:bCs/>
          <w:kern w:val="0"/>
          <w14:ligatures w14:val="none"/>
        </w:rPr>
        <w:t>Actions to be considered</w:t>
      </w:r>
    </w:p>
    <w:p w:rsidR="003242B6" w:rsidRPr="003242B6" w:rsidRDefault="000D092B" w:rsidP="003242B6">
      <w:pPr>
        <w:jc w:val="both"/>
        <w:rPr>
          <w:rFonts w:ascii="Arial" w:eastAsia="Times New Roman" w:hAnsi="Arial" w:cs="Arial"/>
          <w:kern w:val="0"/>
          <w14:ligatures w14:val="none"/>
        </w:rPr>
      </w:pPr>
      <w:r w:rsidRPr="003242B6">
        <w:rPr>
          <w:rFonts w:ascii="Arial" w:eastAsia="Times New Roman" w:hAnsi="Arial" w:cs="Arial"/>
          <w:kern w:val="0"/>
          <w14:ligatures w14:val="none"/>
        </w:rPr>
        <w:t xml:space="preserve">The Government of Montenegro and the Red Cross of Montenegro, united in their dedication to promoting </w:t>
      </w:r>
      <w:r w:rsidR="00FF1346" w:rsidRPr="003242B6">
        <w:rPr>
          <w:rFonts w:ascii="Arial" w:eastAsia="Times New Roman" w:hAnsi="Arial" w:cs="Arial"/>
          <w:kern w:val="0"/>
          <w14:ligatures w14:val="none"/>
        </w:rPr>
        <w:t>International Humanitarian Law (IHL</w:t>
      </w:r>
      <w:r w:rsidR="00FF1346">
        <w:rPr>
          <w:rFonts w:ascii="Arial" w:eastAsia="Times New Roman" w:hAnsi="Arial" w:cs="Arial"/>
          <w:kern w:val="0"/>
          <w14:ligatures w14:val="none"/>
        </w:rPr>
        <w:t xml:space="preserve">) </w:t>
      </w:r>
      <w:r w:rsidR="00FF1346" w:rsidRPr="003242B6">
        <w:rPr>
          <w:rFonts w:ascii="Arial" w:eastAsia="Times New Roman" w:hAnsi="Arial" w:cs="Arial"/>
          <w:kern w:val="0"/>
          <w14:ligatures w14:val="none"/>
        </w:rPr>
        <w:t>and strengthen its national implementation</w:t>
      </w:r>
      <w:r w:rsidR="00FF1346">
        <w:rPr>
          <w:rFonts w:ascii="Arial" w:eastAsia="Times New Roman" w:hAnsi="Arial" w:cs="Arial"/>
          <w:kern w:val="0"/>
          <w14:ligatures w14:val="none"/>
        </w:rPr>
        <w:t>,</w:t>
      </w:r>
      <w:r w:rsidRPr="003242B6">
        <w:rPr>
          <w:rFonts w:ascii="Arial" w:eastAsia="Times New Roman" w:hAnsi="Arial" w:cs="Arial"/>
          <w:kern w:val="0"/>
          <w14:ligatures w14:val="none"/>
        </w:rPr>
        <w:t xml:space="preserve"> </w:t>
      </w:r>
      <w:r w:rsidR="00FF1346" w:rsidRPr="003242B6">
        <w:rPr>
          <w:rFonts w:ascii="Arial" w:eastAsia="Times New Roman" w:hAnsi="Arial" w:cs="Arial"/>
          <w:kern w:val="0"/>
          <w14:ligatures w14:val="none"/>
        </w:rPr>
        <w:t xml:space="preserve">through the activities of the Commission for Humanitarian Law </w:t>
      </w:r>
      <w:r w:rsidR="00FF1346">
        <w:rPr>
          <w:rFonts w:ascii="Arial" w:eastAsia="Times New Roman" w:hAnsi="Arial" w:cs="Arial"/>
          <w:kern w:val="0"/>
          <w14:ligatures w14:val="none"/>
        </w:rPr>
        <w:t>supported by the relevant public authorities,</w:t>
      </w:r>
      <w:r w:rsidRPr="003242B6">
        <w:rPr>
          <w:rFonts w:ascii="Arial" w:eastAsia="Times New Roman" w:hAnsi="Arial" w:cs="Arial"/>
          <w:kern w:val="0"/>
          <w14:ligatures w14:val="none"/>
        </w:rPr>
        <w:t xml:space="preserve"> pledge to carry out the activities outlined below.</w:t>
      </w:r>
    </w:p>
    <w:p w:rsidR="003242B6" w:rsidRPr="003242B6" w:rsidRDefault="000D092B" w:rsidP="003242B6">
      <w:pPr>
        <w:jc w:val="both"/>
        <w:rPr>
          <w:rFonts w:ascii="Arial" w:eastAsia="Times New Roman" w:hAnsi="Arial" w:cs="Arial"/>
          <w:b/>
          <w:bCs/>
          <w:kern w:val="0"/>
          <w14:ligatures w14:val="none"/>
        </w:rPr>
      </w:pPr>
      <w:r w:rsidRPr="003242B6">
        <w:rPr>
          <w:rFonts w:ascii="Arial" w:eastAsia="Times New Roman" w:hAnsi="Arial" w:cs="Arial"/>
          <w:b/>
          <w:bCs/>
          <w:kern w:val="0"/>
          <w14:ligatures w14:val="none"/>
        </w:rPr>
        <w:t>1. Legal Framework</w:t>
      </w:r>
    </w:p>
    <w:p w:rsidR="003242B6" w:rsidRPr="003242B6" w:rsidRDefault="000D092B" w:rsidP="003242B6">
      <w:pPr>
        <w:numPr>
          <w:ilvl w:val="0"/>
          <w:numId w:val="4"/>
        </w:numPr>
        <w:jc w:val="both"/>
        <w:rPr>
          <w:rFonts w:ascii="Arial" w:eastAsia="Times New Roman" w:hAnsi="Arial" w:cs="Arial"/>
          <w:kern w:val="0"/>
          <w14:ligatures w14:val="none"/>
        </w:rPr>
      </w:pPr>
      <w:r w:rsidRPr="003242B6">
        <w:rPr>
          <w:rFonts w:ascii="Arial" w:eastAsia="Times New Roman" w:hAnsi="Arial" w:cs="Arial"/>
          <w:kern w:val="0"/>
          <w14:ligatures w14:val="none"/>
        </w:rPr>
        <w:t>Evaluate Montenegro’s membership status in international treaties in the field of IHL to ensure that the country is a party to all relevant international instruments.</w:t>
      </w:r>
    </w:p>
    <w:p w:rsidR="003242B6" w:rsidRPr="003242B6" w:rsidRDefault="000D092B" w:rsidP="003242B6">
      <w:pPr>
        <w:numPr>
          <w:ilvl w:val="0"/>
          <w:numId w:val="4"/>
        </w:numPr>
        <w:jc w:val="both"/>
        <w:rPr>
          <w:rFonts w:ascii="Arial" w:eastAsia="Times New Roman" w:hAnsi="Arial" w:cs="Arial"/>
          <w:kern w:val="0"/>
          <w14:ligatures w14:val="none"/>
        </w:rPr>
      </w:pPr>
      <w:r w:rsidRPr="003242B6">
        <w:rPr>
          <w:rFonts w:ascii="Arial" w:eastAsia="Times New Roman" w:hAnsi="Arial" w:cs="Arial"/>
          <w:kern w:val="0"/>
          <w14:ligatures w14:val="none"/>
        </w:rPr>
        <w:t>Conduct analysis and strengthen the national legal framework for the implementation of IHL.</w:t>
      </w:r>
    </w:p>
    <w:p w:rsidR="003242B6" w:rsidRPr="003242B6" w:rsidRDefault="000D092B" w:rsidP="003242B6">
      <w:pPr>
        <w:numPr>
          <w:ilvl w:val="0"/>
          <w:numId w:val="4"/>
        </w:numPr>
        <w:jc w:val="both"/>
        <w:rPr>
          <w:rFonts w:ascii="Arial" w:eastAsia="Times New Roman" w:hAnsi="Arial" w:cs="Arial"/>
          <w:kern w:val="0"/>
          <w14:ligatures w14:val="none"/>
        </w:rPr>
      </w:pPr>
      <w:r>
        <w:rPr>
          <w:rFonts w:ascii="Arial" w:eastAsia="Times New Roman" w:hAnsi="Arial" w:cs="Arial"/>
          <w:kern w:val="0"/>
          <w14:ligatures w14:val="none"/>
        </w:rPr>
        <w:t>Prepare the Law Proposal on</w:t>
      </w:r>
      <w:r w:rsidRPr="003242B6">
        <w:rPr>
          <w:rFonts w:ascii="Arial" w:eastAsia="Times New Roman" w:hAnsi="Arial" w:cs="Arial"/>
          <w:kern w:val="0"/>
          <w14:ligatures w14:val="none"/>
        </w:rPr>
        <w:t xml:space="preserve"> the </w:t>
      </w:r>
      <w:r>
        <w:rPr>
          <w:rFonts w:ascii="Arial" w:eastAsia="Times New Roman" w:hAnsi="Arial" w:cs="Arial"/>
          <w:kern w:val="0"/>
          <w14:ligatures w14:val="none"/>
        </w:rPr>
        <w:t>R</w:t>
      </w:r>
      <w:r w:rsidRPr="003242B6">
        <w:rPr>
          <w:rFonts w:ascii="Arial" w:eastAsia="Times New Roman" w:hAnsi="Arial" w:cs="Arial"/>
          <w:kern w:val="0"/>
          <w14:ligatures w14:val="none"/>
        </w:rPr>
        <w:t>atification of the Third Additional Protocol to the Geneva Conventions of 2005.</w:t>
      </w:r>
    </w:p>
    <w:p w:rsidR="003242B6" w:rsidRPr="003242B6" w:rsidRDefault="000D092B" w:rsidP="003242B6">
      <w:pPr>
        <w:jc w:val="both"/>
        <w:rPr>
          <w:rFonts w:ascii="Arial" w:eastAsia="Times New Roman" w:hAnsi="Arial" w:cs="Arial"/>
          <w:b/>
          <w:bCs/>
          <w:kern w:val="0"/>
          <w14:ligatures w14:val="none"/>
        </w:rPr>
      </w:pPr>
      <w:r w:rsidRPr="003242B6">
        <w:rPr>
          <w:rFonts w:ascii="Arial" w:eastAsia="Times New Roman" w:hAnsi="Arial" w:cs="Arial"/>
          <w:b/>
          <w:bCs/>
          <w:kern w:val="0"/>
          <w14:ligatures w14:val="none"/>
        </w:rPr>
        <w:t>2. Education</w:t>
      </w:r>
    </w:p>
    <w:p w:rsidR="003242B6" w:rsidRPr="003242B6" w:rsidRDefault="000D092B" w:rsidP="003242B6">
      <w:pPr>
        <w:numPr>
          <w:ilvl w:val="0"/>
          <w:numId w:val="5"/>
        </w:numPr>
        <w:jc w:val="both"/>
        <w:rPr>
          <w:rFonts w:ascii="Arial" w:eastAsia="Times New Roman" w:hAnsi="Arial" w:cs="Arial"/>
          <w:kern w:val="0"/>
          <w14:ligatures w14:val="none"/>
        </w:rPr>
      </w:pPr>
      <w:r w:rsidRPr="003242B6">
        <w:rPr>
          <w:rFonts w:ascii="Arial" w:eastAsia="Times New Roman" w:hAnsi="Arial" w:cs="Arial"/>
          <w:kern w:val="0"/>
          <w14:ligatures w14:val="none"/>
        </w:rPr>
        <w:t>Consider and undertake educational initiatives to promote knowledge of IHL among primary and secondary school students, as well as adults, and provide recommendations for their implementation.</w:t>
      </w:r>
    </w:p>
    <w:p w:rsidR="003242B6" w:rsidRPr="003242B6" w:rsidRDefault="000D092B" w:rsidP="003242B6">
      <w:pPr>
        <w:numPr>
          <w:ilvl w:val="0"/>
          <w:numId w:val="5"/>
        </w:numPr>
        <w:jc w:val="both"/>
        <w:rPr>
          <w:rFonts w:ascii="Arial" w:eastAsia="Times New Roman" w:hAnsi="Arial" w:cs="Arial"/>
          <w:kern w:val="0"/>
          <w14:ligatures w14:val="none"/>
        </w:rPr>
      </w:pPr>
      <w:r w:rsidRPr="003242B6">
        <w:rPr>
          <w:rFonts w:ascii="Arial" w:eastAsia="Times New Roman" w:hAnsi="Arial" w:cs="Arial"/>
          <w:kern w:val="0"/>
          <w14:ligatures w14:val="none"/>
        </w:rPr>
        <w:t>Prepare and publish handbooks, publications, and other educational and awareness-raising materials to support the dissemination of knowledge on IHL.</w:t>
      </w:r>
    </w:p>
    <w:p w:rsidR="003242B6" w:rsidRPr="003242B6" w:rsidRDefault="000D092B" w:rsidP="003242B6">
      <w:pPr>
        <w:numPr>
          <w:ilvl w:val="0"/>
          <w:numId w:val="5"/>
        </w:numPr>
        <w:jc w:val="both"/>
        <w:rPr>
          <w:rFonts w:ascii="Arial" w:eastAsia="Times New Roman" w:hAnsi="Arial" w:cs="Arial"/>
          <w:kern w:val="0"/>
          <w14:ligatures w14:val="none"/>
        </w:rPr>
      </w:pPr>
      <w:r w:rsidRPr="003242B6">
        <w:rPr>
          <w:rFonts w:ascii="Arial" w:eastAsia="Times New Roman" w:hAnsi="Arial" w:cs="Arial"/>
          <w:kern w:val="0"/>
          <w14:ligatures w14:val="none"/>
        </w:rPr>
        <w:t>Organize at least three educational workshops or roundtables on IHL.</w:t>
      </w:r>
    </w:p>
    <w:p w:rsidR="003242B6" w:rsidRPr="003242B6" w:rsidRDefault="000D092B" w:rsidP="003242B6">
      <w:pPr>
        <w:jc w:val="both"/>
        <w:rPr>
          <w:rFonts w:ascii="Arial" w:eastAsia="Times New Roman" w:hAnsi="Arial" w:cs="Arial"/>
          <w:b/>
          <w:bCs/>
          <w:kern w:val="0"/>
          <w14:ligatures w14:val="none"/>
        </w:rPr>
      </w:pPr>
      <w:r w:rsidRPr="003242B6">
        <w:rPr>
          <w:rFonts w:ascii="Arial" w:eastAsia="Times New Roman" w:hAnsi="Arial" w:cs="Arial"/>
          <w:b/>
          <w:bCs/>
          <w:kern w:val="0"/>
          <w14:ligatures w14:val="none"/>
        </w:rPr>
        <w:t>3. Institutional Capacities</w:t>
      </w:r>
    </w:p>
    <w:p w:rsidR="003242B6" w:rsidRPr="003242B6" w:rsidRDefault="000D092B" w:rsidP="003242B6">
      <w:pPr>
        <w:numPr>
          <w:ilvl w:val="0"/>
          <w:numId w:val="6"/>
        </w:numPr>
        <w:jc w:val="both"/>
        <w:rPr>
          <w:rFonts w:ascii="Arial" w:eastAsia="Times New Roman" w:hAnsi="Arial" w:cs="Arial"/>
          <w:kern w:val="0"/>
          <w14:ligatures w14:val="none"/>
        </w:rPr>
      </w:pPr>
      <w:r w:rsidRPr="003242B6">
        <w:rPr>
          <w:rFonts w:ascii="Arial" w:eastAsia="Times New Roman" w:hAnsi="Arial" w:cs="Arial"/>
          <w:kern w:val="0"/>
          <w14:ligatures w14:val="none"/>
        </w:rPr>
        <w:t>Develop operational guidelines and procedures for the implementation of IHL rules, with a particular focus on the security and healthcare sectors.</w:t>
      </w:r>
    </w:p>
    <w:p w:rsidR="003242B6" w:rsidRPr="003242B6" w:rsidRDefault="000D092B" w:rsidP="003242B6">
      <w:pPr>
        <w:jc w:val="both"/>
        <w:rPr>
          <w:rFonts w:ascii="Arial" w:eastAsia="Times New Roman" w:hAnsi="Arial" w:cs="Arial"/>
          <w:b/>
          <w:bCs/>
          <w:kern w:val="0"/>
          <w14:ligatures w14:val="none"/>
        </w:rPr>
      </w:pPr>
      <w:r w:rsidRPr="003242B6">
        <w:rPr>
          <w:rFonts w:ascii="Arial" w:eastAsia="Times New Roman" w:hAnsi="Arial" w:cs="Arial"/>
          <w:b/>
          <w:bCs/>
          <w:kern w:val="0"/>
          <w14:ligatures w14:val="none"/>
        </w:rPr>
        <w:t>4. International Cooperation and Implementation of International Commitments</w:t>
      </w:r>
    </w:p>
    <w:p w:rsidR="003242B6" w:rsidRPr="003242B6" w:rsidRDefault="000D092B" w:rsidP="003242B6">
      <w:pPr>
        <w:numPr>
          <w:ilvl w:val="0"/>
          <w:numId w:val="7"/>
        </w:numPr>
        <w:jc w:val="both"/>
        <w:rPr>
          <w:rFonts w:ascii="Arial" w:eastAsia="Times New Roman" w:hAnsi="Arial" w:cs="Arial"/>
          <w:kern w:val="0"/>
          <w14:ligatures w14:val="none"/>
        </w:rPr>
      </w:pPr>
      <w:r w:rsidRPr="003242B6">
        <w:rPr>
          <w:rFonts w:ascii="Arial" w:eastAsia="Times New Roman" w:hAnsi="Arial" w:cs="Arial"/>
          <w:kern w:val="0"/>
          <w14:ligatures w14:val="none"/>
        </w:rPr>
        <w:t>Engage constructively within the United Nations and other international organizations or mechanisms in activities aimed at strengthening respect for IHL in international affairs and advancing its progressive development.</w:t>
      </w:r>
    </w:p>
    <w:p w:rsidR="003242B6" w:rsidRPr="003242B6" w:rsidRDefault="000D092B" w:rsidP="003242B6">
      <w:pPr>
        <w:numPr>
          <w:ilvl w:val="0"/>
          <w:numId w:val="7"/>
        </w:numPr>
        <w:jc w:val="both"/>
        <w:rPr>
          <w:rFonts w:ascii="Arial" w:eastAsia="Times New Roman" w:hAnsi="Arial" w:cs="Arial"/>
          <w:kern w:val="0"/>
          <w14:ligatures w14:val="none"/>
        </w:rPr>
      </w:pPr>
      <w:r w:rsidRPr="003242B6">
        <w:rPr>
          <w:rFonts w:ascii="Arial" w:eastAsia="Times New Roman" w:hAnsi="Arial" w:cs="Arial"/>
          <w:kern w:val="0"/>
          <w14:ligatures w14:val="none"/>
        </w:rPr>
        <w:t>Exchange experiences and foster cooperation with national IHL commissions of other countries.</w:t>
      </w:r>
    </w:p>
    <w:p w:rsidR="003242B6" w:rsidRPr="003242B6" w:rsidRDefault="000D092B" w:rsidP="003242B6">
      <w:pPr>
        <w:numPr>
          <w:ilvl w:val="0"/>
          <w:numId w:val="7"/>
        </w:numPr>
        <w:jc w:val="both"/>
        <w:rPr>
          <w:rFonts w:ascii="Arial" w:eastAsia="Times New Roman" w:hAnsi="Arial" w:cs="Arial"/>
          <w:kern w:val="0"/>
          <w14:ligatures w14:val="none"/>
        </w:rPr>
      </w:pPr>
      <w:r w:rsidRPr="003242B6">
        <w:rPr>
          <w:rFonts w:ascii="Arial" w:eastAsia="Times New Roman" w:hAnsi="Arial" w:cs="Arial"/>
          <w:kern w:val="0"/>
          <w14:ligatures w14:val="none"/>
        </w:rPr>
        <w:t>Maintain continuous communication with the International Committee of the Red Cross (ICRC) on current issues in the field of IHL.</w:t>
      </w:r>
    </w:p>
    <w:p w:rsidR="003242B6" w:rsidRPr="003242B6" w:rsidRDefault="000D092B" w:rsidP="003242B6">
      <w:pPr>
        <w:jc w:val="both"/>
        <w:rPr>
          <w:rFonts w:ascii="Arial" w:eastAsia="Times New Roman" w:hAnsi="Arial" w:cs="Arial"/>
          <w:b/>
          <w:bCs/>
          <w:kern w:val="0"/>
          <w14:ligatures w14:val="none"/>
        </w:rPr>
      </w:pPr>
      <w:r w:rsidRPr="003242B6">
        <w:rPr>
          <w:rFonts w:ascii="Arial" w:eastAsia="Times New Roman" w:hAnsi="Arial" w:cs="Arial"/>
          <w:b/>
          <w:bCs/>
          <w:kern w:val="0"/>
          <w14:ligatures w14:val="none"/>
        </w:rPr>
        <w:lastRenderedPageBreak/>
        <w:t xml:space="preserve">C. </w:t>
      </w:r>
      <w:r w:rsidR="004244E1" w:rsidRPr="004244E1">
        <w:rPr>
          <w:rFonts w:ascii="Arial" w:eastAsia="Times New Roman" w:hAnsi="Arial" w:cs="Arial"/>
          <w:b/>
          <w:bCs/>
          <w:kern w:val="0"/>
          <w14:ligatures w14:val="none"/>
        </w:rPr>
        <w:t>Potential indicators for measuring progress</w:t>
      </w:r>
    </w:p>
    <w:p w:rsidR="003242B6" w:rsidRPr="003242B6" w:rsidRDefault="000D092B" w:rsidP="003242B6">
      <w:pPr>
        <w:numPr>
          <w:ilvl w:val="1"/>
          <w:numId w:val="8"/>
        </w:numPr>
        <w:jc w:val="both"/>
        <w:rPr>
          <w:rFonts w:ascii="Arial" w:eastAsia="Times New Roman" w:hAnsi="Arial" w:cs="Arial"/>
          <w:kern w:val="0"/>
          <w14:ligatures w14:val="none"/>
        </w:rPr>
      </w:pPr>
      <w:r w:rsidRPr="003242B6">
        <w:rPr>
          <w:rFonts w:ascii="Arial" w:eastAsia="Times New Roman" w:hAnsi="Arial" w:cs="Arial"/>
          <w:kern w:val="0"/>
          <w14:ligatures w14:val="none"/>
        </w:rPr>
        <w:t xml:space="preserve">Number of accessions to </w:t>
      </w:r>
      <w:r w:rsidR="00EF3760">
        <w:rPr>
          <w:rFonts w:ascii="Arial" w:eastAsia="Times New Roman" w:hAnsi="Arial" w:cs="Arial"/>
          <w:kern w:val="0"/>
          <w14:ligatures w14:val="none"/>
        </w:rPr>
        <w:t xml:space="preserve">IHL </w:t>
      </w:r>
      <w:r w:rsidRPr="003242B6">
        <w:rPr>
          <w:rFonts w:ascii="Arial" w:eastAsia="Times New Roman" w:hAnsi="Arial" w:cs="Arial"/>
          <w:kern w:val="0"/>
          <w14:ligatures w14:val="none"/>
        </w:rPr>
        <w:t>instruments.</w:t>
      </w:r>
    </w:p>
    <w:p w:rsidR="003242B6" w:rsidRPr="003242B6" w:rsidRDefault="000D092B" w:rsidP="003242B6">
      <w:pPr>
        <w:numPr>
          <w:ilvl w:val="1"/>
          <w:numId w:val="8"/>
        </w:numPr>
        <w:jc w:val="both"/>
        <w:rPr>
          <w:rFonts w:ascii="Arial" w:eastAsia="Times New Roman" w:hAnsi="Arial" w:cs="Arial"/>
          <w:kern w:val="0"/>
          <w14:ligatures w14:val="none"/>
        </w:rPr>
      </w:pPr>
      <w:r w:rsidRPr="003242B6">
        <w:rPr>
          <w:rFonts w:ascii="Arial" w:eastAsia="Times New Roman" w:hAnsi="Arial" w:cs="Arial"/>
          <w:kern w:val="0"/>
          <w14:ligatures w14:val="none"/>
        </w:rPr>
        <w:t>Level of engagement in non-binding international initiatives related to IHL.</w:t>
      </w:r>
    </w:p>
    <w:p w:rsidR="003242B6" w:rsidRPr="003242B6" w:rsidRDefault="000D092B" w:rsidP="003242B6">
      <w:pPr>
        <w:numPr>
          <w:ilvl w:val="1"/>
          <w:numId w:val="8"/>
        </w:numPr>
        <w:jc w:val="both"/>
        <w:rPr>
          <w:rFonts w:ascii="Arial" w:eastAsia="Times New Roman" w:hAnsi="Arial" w:cs="Arial"/>
          <w:kern w:val="0"/>
          <w14:ligatures w14:val="none"/>
        </w:rPr>
      </w:pPr>
      <w:r w:rsidRPr="003242B6">
        <w:rPr>
          <w:rFonts w:ascii="Arial" w:eastAsia="Times New Roman" w:hAnsi="Arial" w:cs="Arial"/>
          <w:kern w:val="0"/>
          <w14:ligatures w14:val="none"/>
        </w:rPr>
        <w:t>Number of workshops and roundtables organized on the topic of IHL.</w:t>
      </w:r>
    </w:p>
    <w:p w:rsidR="003242B6" w:rsidRPr="003242B6" w:rsidRDefault="000D092B" w:rsidP="003242B6">
      <w:pPr>
        <w:numPr>
          <w:ilvl w:val="1"/>
          <w:numId w:val="8"/>
        </w:numPr>
        <w:jc w:val="both"/>
        <w:rPr>
          <w:rFonts w:ascii="Arial" w:eastAsia="Times New Roman" w:hAnsi="Arial" w:cs="Arial"/>
          <w:kern w:val="0"/>
          <w14:ligatures w14:val="none"/>
        </w:rPr>
      </w:pPr>
      <w:r w:rsidRPr="003242B6">
        <w:rPr>
          <w:rFonts w:ascii="Arial" w:eastAsia="Times New Roman" w:hAnsi="Arial" w:cs="Arial"/>
          <w:kern w:val="0"/>
          <w14:ligatures w14:val="none"/>
        </w:rPr>
        <w:t>Number of recommendations issued for the development of operational guidelines and procedures to implement IHL rules.</w:t>
      </w:r>
    </w:p>
    <w:p w:rsidR="003242B6" w:rsidRPr="003242B6" w:rsidRDefault="000D092B" w:rsidP="003242B6">
      <w:pPr>
        <w:numPr>
          <w:ilvl w:val="1"/>
          <w:numId w:val="8"/>
        </w:numPr>
        <w:jc w:val="both"/>
        <w:rPr>
          <w:rFonts w:ascii="Arial" w:eastAsia="Times New Roman" w:hAnsi="Arial" w:cs="Arial"/>
          <w:kern w:val="0"/>
          <w14:ligatures w14:val="none"/>
        </w:rPr>
      </w:pPr>
      <w:r w:rsidRPr="003242B6">
        <w:rPr>
          <w:rFonts w:ascii="Arial" w:eastAsia="Times New Roman" w:hAnsi="Arial" w:cs="Arial"/>
          <w:kern w:val="0"/>
          <w14:ligatures w14:val="none"/>
        </w:rPr>
        <w:t>Number of operational guidelines and procedures developed for the implementation of IHL rules.</w:t>
      </w:r>
    </w:p>
    <w:p w:rsidR="003242B6" w:rsidRPr="003242B6" w:rsidRDefault="000D092B" w:rsidP="003242B6">
      <w:pPr>
        <w:numPr>
          <w:ilvl w:val="1"/>
          <w:numId w:val="8"/>
        </w:numPr>
        <w:jc w:val="both"/>
        <w:rPr>
          <w:rFonts w:ascii="Arial" w:eastAsia="Times New Roman" w:hAnsi="Arial" w:cs="Arial"/>
          <w:kern w:val="0"/>
          <w14:ligatures w14:val="none"/>
        </w:rPr>
      </w:pPr>
      <w:r w:rsidRPr="003242B6">
        <w:rPr>
          <w:rFonts w:ascii="Arial" w:eastAsia="Times New Roman" w:hAnsi="Arial" w:cs="Arial"/>
          <w:kern w:val="0"/>
          <w14:ligatures w14:val="none"/>
        </w:rPr>
        <w:t>Number of publications and other relevant materials produced for the dissemination of IHL.</w:t>
      </w:r>
    </w:p>
    <w:p w:rsidR="003242B6" w:rsidRPr="003242B6" w:rsidRDefault="00021418" w:rsidP="003242B6">
      <w:pPr>
        <w:jc w:val="both"/>
        <w:rPr>
          <w:rFonts w:ascii="Arial" w:eastAsia="Times New Roman" w:hAnsi="Arial" w:cs="Arial"/>
          <w:b/>
          <w:bCs/>
          <w:kern w:val="0"/>
          <w14:ligatures w14:val="none"/>
        </w:rPr>
      </w:pPr>
      <w:r>
        <w:rPr>
          <w:rFonts w:ascii="Arial" w:eastAsia="Times New Roman" w:hAnsi="Arial" w:cs="Arial"/>
          <w:b/>
          <w:bCs/>
          <w:kern w:val="0"/>
          <w14:ligatures w14:val="none"/>
        </w:rPr>
        <w:pict w14:anchorId="5C814382">
          <v:rect id="_x0000_i1025" style="width:384.75pt;height:1.5pt" o:hralign="center" o:hrstd="t" o:hr="t" fillcolor="#a0a0a0" stroked="f"/>
        </w:pict>
      </w:r>
    </w:p>
    <w:p w:rsidR="003242B6" w:rsidRPr="003242B6" w:rsidRDefault="000D092B" w:rsidP="003242B6">
      <w:pPr>
        <w:jc w:val="both"/>
        <w:rPr>
          <w:rFonts w:ascii="Arial" w:eastAsia="Times New Roman" w:hAnsi="Arial" w:cs="Arial"/>
          <w:b/>
          <w:bCs/>
          <w:kern w:val="0"/>
          <w14:ligatures w14:val="none"/>
        </w:rPr>
      </w:pPr>
      <w:r w:rsidRPr="003242B6">
        <w:rPr>
          <w:rFonts w:ascii="Arial" w:eastAsia="Times New Roman" w:hAnsi="Arial" w:cs="Arial"/>
          <w:b/>
          <w:bCs/>
          <w:kern w:val="0"/>
          <w14:ligatures w14:val="none"/>
        </w:rPr>
        <w:t>D. Resource Implications</w:t>
      </w:r>
    </w:p>
    <w:p w:rsidR="003242B6" w:rsidRPr="003242B6" w:rsidRDefault="000D092B" w:rsidP="003242B6">
      <w:pPr>
        <w:jc w:val="both"/>
        <w:rPr>
          <w:rFonts w:ascii="Arial" w:eastAsia="Times New Roman" w:hAnsi="Arial" w:cs="Arial"/>
          <w:kern w:val="0"/>
          <w14:ligatures w14:val="none"/>
        </w:rPr>
      </w:pPr>
      <w:r w:rsidRPr="003242B6">
        <w:rPr>
          <w:rFonts w:ascii="Arial" w:eastAsia="Times New Roman" w:hAnsi="Arial" w:cs="Arial"/>
          <w:kern w:val="0"/>
          <w14:ligatures w14:val="none"/>
        </w:rPr>
        <w:t>The Government of Montenegro</w:t>
      </w:r>
      <w:r>
        <w:rPr>
          <w:rFonts w:ascii="Arial" w:eastAsia="Times New Roman" w:hAnsi="Arial" w:cs="Arial"/>
          <w:kern w:val="0"/>
          <w14:ligatures w14:val="none"/>
        </w:rPr>
        <w:t xml:space="preserve"> and</w:t>
      </w:r>
      <w:r w:rsidRPr="003242B6">
        <w:rPr>
          <w:rFonts w:ascii="Arial" w:eastAsia="Times New Roman" w:hAnsi="Arial" w:cs="Arial"/>
          <w:kern w:val="0"/>
          <w14:ligatures w14:val="none"/>
        </w:rPr>
        <w:t xml:space="preserve"> the Red Cross of Montenegro, will allocate the necessary resources fo</w:t>
      </w:r>
      <w:r>
        <w:rPr>
          <w:rFonts w:ascii="Arial" w:eastAsia="Times New Roman" w:hAnsi="Arial" w:cs="Arial"/>
          <w:kern w:val="0"/>
          <w14:ligatures w14:val="none"/>
        </w:rPr>
        <w:t>r implementing this pledge</w:t>
      </w:r>
      <w:r w:rsidRPr="003242B6">
        <w:rPr>
          <w:rFonts w:ascii="Arial" w:eastAsia="Times New Roman" w:hAnsi="Arial" w:cs="Arial"/>
          <w:kern w:val="0"/>
          <w14:ligatures w14:val="none"/>
        </w:rPr>
        <w:t>.</w:t>
      </w:r>
    </w:p>
    <w:p w:rsidR="003242B6" w:rsidRPr="003242B6" w:rsidRDefault="000D092B" w:rsidP="003242B6">
      <w:pPr>
        <w:jc w:val="both"/>
        <w:rPr>
          <w:rFonts w:ascii="Arial" w:eastAsia="Times New Roman" w:hAnsi="Arial" w:cs="Arial"/>
          <w:kern w:val="0"/>
          <w14:ligatures w14:val="none"/>
        </w:rPr>
      </w:pPr>
      <w:r w:rsidRPr="003242B6">
        <w:rPr>
          <w:rFonts w:ascii="Arial" w:eastAsia="Times New Roman" w:hAnsi="Arial" w:cs="Arial"/>
          <w:kern w:val="0"/>
          <w14:ligatures w14:val="none"/>
        </w:rPr>
        <w:t xml:space="preserve">By committing to these actions, </w:t>
      </w:r>
      <w:r w:rsidR="007B37F3">
        <w:rPr>
          <w:rFonts w:ascii="Arial" w:eastAsia="Times New Roman" w:hAnsi="Arial" w:cs="Arial"/>
          <w:kern w:val="0"/>
          <w14:ligatures w14:val="none"/>
        </w:rPr>
        <w:t xml:space="preserve">the </w:t>
      </w:r>
      <w:r w:rsidR="007B37F3" w:rsidRPr="003242B6">
        <w:rPr>
          <w:rFonts w:ascii="Arial" w:eastAsia="Times New Roman" w:hAnsi="Arial" w:cs="Arial"/>
          <w:kern w:val="0"/>
          <w14:ligatures w14:val="none"/>
        </w:rPr>
        <w:t>Government of Montenegro</w:t>
      </w:r>
      <w:r w:rsidR="007B37F3">
        <w:rPr>
          <w:rFonts w:ascii="Arial" w:eastAsia="Times New Roman" w:hAnsi="Arial" w:cs="Arial"/>
          <w:kern w:val="0"/>
          <w14:ligatures w14:val="none"/>
        </w:rPr>
        <w:t xml:space="preserve"> and</w:t>
      </w:r>
      <w:r w:rsidR="007B37F3" w:rsidRPr="003242B6">
        <w:rPr>
          <w:rFonts w:ascii="Arial" w:eastAsia="Times New Roman" w:hAnsi="Arial" w:cs="Arial"/>
          <w:kern w:val="0"/>
          <w14:ligatures w14:val="none"/>
        </w:rPr>
        <w:t xml:space="preserve"> the Red Cross of Montenegro</w:t>
      </w:r>
      <w:r w:rsidR="007B37F3">
        <w:rPr>
          <w:rFonts w:ascii="Arial" w:eastAsia="Times New Roman" w:hAnsi="Arial" w:cs="Arial"/>
          <w:kern w:val="0"/>
          <w14:ligatures w14:val="none"/>
        </w:rPr>
        <w:t>,</w:t>
      </w:r>
      <w:r w:rsidR="007B37F3" w:rsidRPr="007B37F3">
        <w:rPr>
          <w:rFonts w:ascii="Arial" w:eastAsia="Times New Roman" w:hAnsi="Arial" w:cs="Arial"/>
          <w:kern w:val="0"/>
          <w14:ligatures w14:val="none"/>
        </w:rPr>
        <w:t xml:space="preserve"> reaffirm </w:t>
      </w:r>
      <w:r w:rsidR="007B37F3">
        <w:rPr>
          <w:rFonts w:ascii="Arial" w:eastAsia="Times New Roman" w:hAnsi="Arial" w:cs="Arial"/>
          <w:kern w:val="0"/>
          <w14:ligatures w14:val="none"/>
        </w:rPr>
        <w:t xml:space="preserve">their common and firm </w:t>
      </w:r>
      <w:r w:rsidR="007B37F3" w:rsidRPr="007B37F3">
        <w:rPr>
          <w:rFonts w:ascii="Arial" w:eastAsia="Times New Roman" w:hAnsi="Arial" w:cs="Arial"/>
          <w:kern w:val="0"/>
          <w14:ligatures w14:val="none"/>
        </w:rPr>
        <w:t>dedication to upholding and promoting International Humanitarian Law</w:t>
      </w:r>
      <w:r w:rsidR="007B37F3">
        <w:rPr>
          <w:rFonts w:ascii="Arial" w:eastAsia="Times New Roman" w:hAnsi="Arial" w:cs="Arial"/>
          <w:kern w:val="0"/>
          <w14:ligatures w14:val="none"/>
        </w:rPr>
        <w:t>.</w:t>
      </w:r>
    </w:p>
    <w:p w:rsidR="00B57012" w:rsidRDefault="00B57012" w:rsidP="00C006EA">
      <w:pPr>
        <w:jc w:val="both"/>
      </w:pPr>
    </w:p>
    <w:sectPr w:rsidR="00B57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418" w:rsidRDefault="00021418">
      <w:pPr>
        <w:spacing w:after="0" w:line="240" w:lineRule="auto"/>
      </w:pPr>
      <w:r>
        <w:separator/>
      </w:r>
    </w:p>
  </w:endnote>
  <w:endnote w:type="continuationSeparator" w:id="0">
    <w:p w:rsidR="00021418" w:rsidRDefault="0002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418" w:rsidRDefault="00021418">
      <w:pPr>
        <w:spacing w:after="0" w:line="240" w:lineRule="auto"/>
      </w:pPr>
      <w:r>
        <w:separator/>
      </w:r>
    </w:p>
  </w:footnote>
  <w:footnote w:type="continuationSeparator" w:id="0">
    <w:p w:rsidR="00021418" w:rsidRDefault="0002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22B" w:rsidRDefault="000D092B">
    <w:pPr>
      <w:pStyle w:val="Header"/>
    </w:pPr>
    <w:r>
      <w:rPr>
        <w:noProof/>
        <w:lang w:eastAsia="en-GB"/>
      </w:rPr>
      <w:drawing>
        <wp:inline distT="0" distB="0" distL="0" distR="0">
          <wp:extent cx="2489703" cy="853729"/>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78299"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4278" cy="8621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747"/>
    <w:multiLevelType w:val="multilevel"/>
    <w:tmpl w:val="31F0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834D42"/>
    <w:multiLevelType w:val="multilevel"/>
    <w:tmpl w:val="3FA4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4F54E6"/>
    <w:multiLevelType w:val="multilevel"/>
    <w:tmpl w:val="857C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F139A"/>
    <w:multiLevelType w:val="hybridMultilevel"/>
    <w:tmpl w:val="CC1A97DA"/>
    <w:lvl w:ilvl="0" w:tplc="65025CDA">
      <w:start w:val="2"/>
      <w:numFmt w:val="bullet"/>
      <w:lvlText w:val="-"/>
      <w:lvlJc w:val="left"/>
      <w:pPr>
        <w:ind w:left="720" w:hanging="360"/>
      </w:pPr>
      <w:rPr>
        <w:rFonts w:ascii="Times New Roman" w:eastAsia="Times New Roman" w:hAnsi="Times New Roman" w:cs="Times New Roman" w:hint="default"/>
      </w:rPr>
    </w:lvl>
    <w:lvl w:ilvl="1" w:tplc="A006A00A" w:tentative="1">
      <w:start w:val="1"/>
      <w:numFmt w:val="bullet"/>
      <w:lvlText w:val="o"/>
      <w:lvlJc w:val="left"/>
      <w:pPr>
        <w:ind w:left="1440" w:hanging="360"/>
      </w:pPr>
      <w:rPr>
        <w:rFonts w:ascii="Courier New" w:hAnsi="Courier New" w:cs="Courier New" w:hint="default"/>
      </w:rPr>
    </w:lvl>
    <w:lvl w:ilvl="2" w:tplc="3034B1B2" w:tentative="1">
      <w:start w:val="1"/>
      <w:numFmt w:val="bullet"/>
      <w:lvlText w:val=""/>
      <w:lvlJc w:val="left"/>
      <w:pPr>
        <w:ind w:left="2160" w:hanging="360"/>
      </w:pPr>
      <w:rPr>
        <w:rFonts w:ascii="Wingdings" w:hAnsi="Wingdings" w:hint="default"/>
      </w:rPr>
    </w:lvl>
    <w:lvl w:ilvl="3" w:tplc="9028D170" w:tentative="1">
      <w:start w:val="1"/>
      <w:numFmt w:val="bullet"/>
      <w:lvlText w:val=""/>
      <w:lvlJc w:val="left"/>
      <w:pPr>
        <w:ind w:left="2880" w:hanging="360"/>
      </w:pPr>
      <w:rPr>
        <w:rFonts w:ascii="Symbol" w:hAnsi="Symbol" w:hint="default"/>
      </w:rPr>
    </w:lvl>
    <w:lvl w:ilvl="4" w:tplc="597A1758" w:tentative="1">
      <w:start w:val="1"/>
      <w:numFmt w:val="bullet"/>
      <w:lvlText w:val="o"/>
      <w:lvlJc w:val="left"/>
      <w:pPr>
        <w:ind w:left="3600" w:hanging="360"/>
      </w:pPr>
      <w:rPr>
        <w:rFonts w:ascii="Courier New" w:hAnsi="Courier New" w:cs="Courier New" w:hint="default"/>
      </w:rPr>
    </w:lvl>
    <w:lvl w:ilvl="5" w:tplc="F9803C92" w:tentative="1">
      <w:start w:val="1"/>
      <w:numFmt w:val="bullet"/>
      <w:lvlText w:val=""/>
      <w:lvlJc w:val="left"/>
      <w:pPr>
        <w:ind w:left="4320" w:hanging="360"/>
      </w:pPr>
      <w:rPr>
        <w:rFonts w:ascii="Wingdings" w:hAnsi="Wingdings" w:hint="default"/>
      </w:rPr>
    </w:lvl>
    <w:lvl w:ilvl="6" w:tplc="27FA0A3E" w:tentative="1">
      <w:start w:val="1"/>
      <w:numFmt w:val="bullet"/>
      <w:lvlText w:val=""/>
      <w:lvlJc w:val="left"/>
      <w:pPr>
        <w:ind w:left="5040" w:hanging="360"/>
      </w:pPr>
      <w:rPr>
        <w:rFonts w:ascii="Symbol" w:hAnsi="Symbol" w:hint="default"/>
      </w:rPr>
    </w:lvl>
    <w:lvl w:ilvl="7" w:tplc="5B181DA0" w:tentative="1">
      <w:start w:val="1"/>
      <w:numFmt w:val="bullet"/>
      <w:lvlText w:val="o"/>
      <w:lvlJc w:val="left"/>
      <w:pPr>
        <w:ind w:left="5760" w:hanging="360"/>
      </w:pPr>
      <w:rPr>
        <w:rFonts w:ascii="Courier New" w:hAnsi="Courier New" w:cs="Courier New" w:hint="default"/>
      </w:rPr>
    </w:lvl>
    <w:lvl w:ilvl="8" w:tplc="DA78B330" w:tentative="1">
      <w:start w:val="1"/>
      <w:numFmt w:val="bullet"/>
      <w:lvlText w:val=""/>
      <w:lvlJc w:val="left"/>
      <w:pPr>
        <w:ind w:left="6480" w:hanging="360"/>
      </w:pPr>
      <w:rPr>
        <w:rFonts w:ascii="Wingdings" w:hAnsi="Wingdings" w:hint="default"/>
      </w:rPr>
    </w:lvl>
  </w:abstractNum>
  <w:abstractNum w:abstractNumId="4" w15:restartNumberingAfterBreak="0">
    <w:nsid w:val="576C0BBE"/>
    <w:multiLevelType w:val="multilevel"/>
    <w:tmpl w:val="501461CE"/>
    <w:lvl w:ilvl="0">
      <w:start w:val="1"/>
      <w:numFmt w:val="decimal"/>
      <w:lvlText w:val="%1."/>
      <w:lvlJc w:val="left"/>
      <w:pPr>
        <w:tabs>
          <w:tab w:val="num" w:pos="630"/>
        </w:tabs>
        <w:ind w:left="63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1577D6"/>
    <w:multiLevelType w:val="multilevel"/>
    <w:tmpl w:val="4B5E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9636E3"/>
    <w:multiLevelType w:val="multilevel"/>
    <w:tmpl w:val="C7F8F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9D1987"/>
    <w:multiLevelType w:val="multilevel"/>
    <w:tmpl w:val="F84C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0"/>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EB"/>
    <w:rsid w:val="00021418"/>
    <w:rsid w:val="00022C4B"/>
    <w:rsid w:val="00057602"/>
    <w:rsid w:val="00076422"/>
    <w:rsid w:val="00080C83"/>
    <w:rsid w:val="000920EB"/>
    <w:rsid w:val="000B6449"/>
    <w:rsid w:val="000D092B"/>
    <w:rsid w:val="001A6556"/>
    <w:rsid w:val="002105C1"/>
    <w:rsid w:val="00232B69"/>
    <w:rsid w:val="0024160F"/>
    <w:rsid w:val="0024267E"/>
    <w:rsid w:val="002B5C48"/>
    <w:rsid w:val="002B7099"/>
    <w:rsid w:val="003242B6"/>
    <w:rsid w:val="003C6E76"/>
    <w:rsid w:val="003D3AAD"/>
    <w:rsid w:val="0042070F"/>
    <w:rsid w:val="004244E1"/>
    <w:rsid w:val="004940E7"/>
    <w:rsid w:val="004B21AC"/>
    <w:rsid w:val="004E301D"/>
    <w:rsid w:val="00534D59"/>
    <w:rsid w:val="00537A20"/>
    <w:rsid w:val="00570E4E"/>
    <w:rsid w:val="005D147E"/>
    <w:rsid w:val="005D4449"/>
    <w:rsid w:val="00630049"/>
    <w:rsid w:val="0068722B"/>
    <w:rsid w:val="007B37F3"/>
    <w:rsid w:val="00810C27"/>
    <w:rsid w:val="00862EE9"/>
    <w:rsid w:val="008D65D5"/>
    <w:rsid w:val="008D7016"/>
    <w:rsid w:val="00956D42"/>
    <w:rsid w:val="00992344"/>
    <w:rsid w:val="009C2468"/>
    <w:rsid w:val="009E148D"/>
    <w:rsid w:val="009F0CE8"/>
    <w:rsid w:val="00A36E22"/>
    <w:rsid w:val="00A7060E"/>
    <w:rsid w:val="00AD042E"/>
    <w:rsid w:val="00AF2130"/>
    <w:rsid w:val="00AF655C"/>
    <w:rsid w:val="00B57012"/>
    <w:rsid w:val="00B97844"/>
    <w:rsid w:val="00BB05E6"/>
    <w:rsid w:val="00BB56F9"/>
    <w:rsid w:val="00BC1AD5"/>
    <w:rsid w:val="00C006EA"/>
    <w:rsid w:val="00C92B38"/>
    <w:rsid w:val="00CE5F7C"/>
    <w:rsid w:val="00D35987"/>
    <w:rsid w:val="00DB5AA8"/>
    <w:rsid w:val="00E15711"/>
    <w:rsid w:val="00E32C97"/>
    <w:rsid w:val="00E37E13"/>
    <w:rsid w:val="00E956D5"/>
    <w:rsid w:val="00EE22B2"/>
    <w:rsid w:val="00EF3760"/>
    <w:rsid w:val="00FF1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36DA"/>
  <w15:chartTrackingRefBased/>
  <w15:docId w15:val="{F83D9085-94FF-4A27-BD6E-0B6123EF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22B"/>
  </w:style>
  <w:style w:type="paragraph" w:styleId="Heading1">
    <w:name w:val="heading 1"/>
    <w:basedOn w:val="Normal"/>
    <w:next w:val="Normal"/>
    <w:link w:val="Heading1Char"/>
    <w:uiPriority w:val="9"/>
    <w:qFormat/>
    <w:rsid w:val="000920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20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920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20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20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20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0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0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0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0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20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920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20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20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20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0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0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0EB"/>
    <w:rPr>
      <w:rFonts w:eastAsiaTheme="majorEastAsia" w:cstheme="majorBidi"/>
      <w:color w:val="272727" w:themeColor="text1" w:themeTint="D8"/>
    </w:rPr>
  </w:style>
  <w:style w:type="paragraph" w:styleId="Title">
    <w:name w:val="Title"/>
    <w:basedOn w:val="Normal"/>
    <w:next w:val="Normal"/>
    <w:link w:val="TitleChar"/>
    <w:uiPriority w:val="10"/>
    <w:qFormat/>
    <w:rsid w:val="000920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0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0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0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0EB"/>
    <w:pPr>
      <w:spacing w:before="160"/>
      <w:jc w:val="center"/>
    </w:pPr>
    <w:rPr>
      <w:i/>
      <w:iCs/>
      <w:color w:val="404040" w:themeColor="text1" w:themeTint="BF"/>
    </w:rPr>
  </w:style>
  <w:style w:type="character" w:customStyle="1" w:styleId="QuoteChar">
    <w:name w:val="Quote Char"/>
    <w:basedOn w:val="DefaultParagraphFont"/>
    <w:link w:val="Quote"/>
    <w:uiPriority w:val="29"/>
    <w:rsid w:val="000920EB"/>
    <w:rPr>
      <w:i/>
      <w:iCs/>
      <w:color w:val="404040" w:themeColor="text1" w:themeTint="BF"/>
    </w:rPr>
  </w:style>
  <w:style w:type="paragraph" w:styleId="ListParagraph">
    <w:name w:val="List Paragraph"/>
    <w:basedOn w:val="Normal"/>
    <w:uiPriority w:val="34"/>
    <w:qFormat/>
    <w:rsid w:val="000920EB"/>
    <w:pPr>
      <w:ind w:left="720"/>
      <w:contextualSpacing/>
    </w:pPr>
  </w:style>
  <w:style w:type="character" w:styleId="IntenseEmphasis">
    <w:name w:val="Intense Emphasis"/>
    <w:basedOn w:val="DefaultParagraphFont"/>
    <w:uiPriority w:val="21"/>
    <w:qFormat/>
    <w:rsid w:val="000920EB"/>
    <w:rPr>
      <w:i/>
      <w:iCs/>
      <w:color w:val="2F5496" w:themeColor="accent1" w:themeShade="BF"/>
    </w:rPr>
  </w:style>
  <w:style w:type="paragraph" w:styleId="IntenseQuote">
    <w:name w:val="Intense Quote"/>
    <w:basedOn w:val="Normal"/>
    <w:next w:val="Normal"/>
    <w:link w:val="IntenseQuoteChar"/>
    <w:uiPriority w:val="30"/>
    <w:qFormat/>
    <w:rsid w:val="00092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20EB"/>
    <w:rPr>
      <w:i/>
      <w:iCs/>
      <w:color w:val="2F5496" w:themeColor="accent1" w:themeShade="BF"/>
    </w:rPr>
  </w:style>
  <w:style w:type="character" w:styleId="IntenseReference">
    <w:name w:val="Intense Reference"/>
    <w:basedOn w:val="DefaultParagraphFont"/>
    <w:uiPriority w:val="32"/>
    <w:qFormat/>
    <w:rsid w:val="000920EB"/>
    <w:rPr>
      <w:b/>
      <w:bCs/>
      <w:smallCaps/>
      <w:color w:val="2F5496" w:themeColor="accent1" w:themeShade="BF"/>
      <w:spacing w:val="5"/>
    </w:rPr>
  </w:style>
  <w:style w:type="character" w:styleId="CommentReference">
    <w:name w:val="annotation reference"/>
    <w:basedOn w:val="DefaultParagraphFont"/>
    <w:uiPriority w:val="99"/>
    <w:semiHidden/>
    <w:unhideWhenUsed/>
    <w:rsid w:val="00DB5AA8"/>
    <w:rPr>
      <w:sz w:val="16"/>
      <w:szCs w:val="16"/>
    </w:rPr>
  </w:style>
  <w:style w:type="paragraph" w:styleId="CommentText">
    <w:name w:val="annotation text"/>
    <w:basedOn w:val="Normal"/>
    <w:link w:val="CommentTextChar"/>
    <w:uiPriority w:val="99"/>
    <w:semiHidden/>
    <w:unhideWhenUsed/>
    <w:rsid w:val="00DB5AA8"/>
    <w:pPr>
      <w:spacing w:line="240" w:lineRule="auto"/>
    </w:pPr>
    <w:rPr>
      <w:sz w:val="20"/>
      <w:szCs w:val="20"/>
    </w:rPr>
  </w:style>
  <w:style w:type="character" w:customStyle="1" w:styleId="CommentTextChar">
    <w:name w:val="Comment Text Char"/>
    <w:basedOn w:val="DefaultParagraphFont"/>
    <w:link w:val="CommentText"/>
    <w:uiPriority w:val="99"/>
    <w:semiHidden/>
    <w:rsid w:val="00DB5AA8"/>
    <w:rPr>
      <w:sz w:val="20"/>
      <w:szCs w:val="20"/>
    </w:rPr>
  </w:style>
  <w:style w:type="paragraph" w:styleId="CommentSubject">
    <w:name w:val="annotation subject"/>
    <w:basedOn w:val="CommentText"/>
    <w:next w:val="CommentText"/>
    <w:link w:val="CommentSubjectChar"/>
    <w:uiPriority w:val="99"/>
    <w:semiHidden/>
    <w:unhideWhenUsed/>
    <w:rsid w:val="00DB5AA8"/>
    <w:rPr>
      <w:b/>
      <w:bCs/>
    </w:rPr>
  </w:style>
  <w:style w:type="character" w:customStyle="1" w:styleId="CommentSubjectChar">
    <w:name w:val="Comment Subject Char"/>
    <w:basedOn w:val="CommentTextChar"/>
    <w:link w:val="CommentSubject"/>
    <w:uiPriority w:val="99"/>
    <w:semiHidden/>
    <w:rsid w:val="00DB5AA8"/>
    <w:rPr>
      <w:b/>
      <w:bCs/>
      <w:sz w:val="20"/>
      <w:szCs w:val="20"/>
    </w:rPr>
  </w:style>
  <w:style w:type="paragraph" w:styleId="Header">
    <w:name w:val="header"/>
    <w:basedOn w:val="Normal"/>
    <w:link w:val="HeaderChar"/>
    <w:uiPriority w:val="99"/>
    <w:unhideWhenUsed/>
    <w:rsid w:val="00687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22B"/>
  </w:style>
  <w:style w:type="paragraph" w:styleId="Footer">
    <w:name w:val="footer"/>
    <w:basedOn w:val="Normal"/>
    <w:link w:val="FooterChar"/>
    <w:uiPriority w:val="99"/>
    <w:unhideWhenUsed/>
    <w:rsid w:val="00687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22B"/>
  </w:style>
  <w:style w:type="paragraph" w:styleId="BalloonText">
    <w:name w:val="Balloon Text"/>
    <w:basedOn w:val="Normal"/>
    <w:link w:val="BalloonTextChar"/>
    <w:uiPriority w:val="99"/>
    <w:semiHidden/>
    <w:unhideWhenUsed/>
    <w:rsid w:val="00EE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F9EEC-5A6E-4E3D-92E9-69147DC2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Ksea</dc:creator>
  <cp:lastModifiedBy>Ksenija Kovacevic</cp:lastModifiedBy>
  <cp:revision>8</cp:revision>
  <dcterms:created xsi:type="dcterms:W3CDTF">2025-06-19T08:41:00Z</dcterms:created>
  <dcterms:modified xsi:type="dcterms:W3CDTF">2025-06-27T10:39:00Z</dcterms:modified>
</cp:coreProperties>
</file>