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1D0E" w14:textId="6049B2B8" w:rsidR="007D3305" w:rsidRPr="00A24BF1" w:rsidRDefault="00317EB1" w:rsidP="007D3305">
      <w:pPr>
        <w:pStyle w:val="BodySingle"/>
        <w:jc w:val="center"/>
        <w:rPr>
          <w:noProof/>
          <w:lang w:val="fr-FR"/>
        </w:rPr>
      </w:pPr>
      <w:r w:rsidRPr="00A24BF1">
        <w:rPr>
          <w:noProof/>
          <w:lang w:val="fr-FR"/>
        </w:rPr>
        <w:drawing>
          <wp:inline distT="0" distB="0" distL="0" distR="0" wp14:anchorId="0DC00307" wp14:editId="2257FE3E">
            <wp:extent cx="4298950" cy="1178555"/>
            <wp:effectExtent l="0" t="0" r="6350" b="3175"/>
            <wp:docPr id="1509376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81" cy="118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08BE3" w14:textId="77777777" w:rsidR="009C675B" w:rsidRPr="00A24BF1" w:rsidRDefault="009C675B" w:rsidP="009C675B">
      <w:pPr>
        <w:pStyle w:val="BodySingle"/>
        <w:jc w:val="center"/>
        <w:rPr>
          <w:rFonts w:cs="Arial"/>
          <w:sz w:val="22"/>
          <w:szCs w:val="22"/>
          <w:lang w:val="fr-FR"/>
        </w:rPr>
      </w:pPr>
    </w:p>
    <w:p w14:paraId="2133493A" w14:textId="00E6BC89" w:rsidR="009C675B" w:rsidRPr="00A24BF1" w:rsidRDefault="005E77C3" w:rsidP="005E77C3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shd w:val="clear" w:color="auto" w:fill="1A3283"/>
        <w:tabs>
          <w:tab w:val="left" w:pos="2100"/>
          <w:tab w:val="center" w:pos="4536"/>
          <w:tab w:val="left" w:pos="5772"/>
        </w:tabs>
        <w:jc w:val="left"/>
        <w:rPr>
          <w:rFonts w:ascii="Arial" w:hAnsi="Arial" w:cs="Arial"/>
          <w:bCs/>
          <w:sz w:val="22"/>
          <w:szCs w:val="22"/>
          <w:lang w:val="fr-FR"/>
        </w:rPr>
      </w:pPr>
      <w:r w:rsidRPr="00A24BF1">
        <w:rPr>
          <w:rFonts w:ascii="Arial" w:hAnsi="Arial" w:cs="Arial"/>
          <w:b/>
          <w:sz w:val="22"/>
          <w:szCs w:val="22"/>
          <w:lang w:val="fr-FR"/>
        </w:rPr>
        <w:tab/>
      </w:r>
      <w:r w:rsidRPr="00A24BF1">
        <w:rPr>
          <w:rFonts w:ascii="Arial" w:hAnsi="Arial" w:cs="Arial"/>
          <w:b/>
          <w:sz w:val="22"/>
          <w:szCs w:val="22"/>
          <w:lang w:val="fr-FR"/>
        </w:rPr>
        <w:tab/>
      </w:r>
      <w:r w:rsidR="00EF6B03" w:rsidRPr="00A24BF1">
        <w:rPr>
          <w:rFonts w:ascii="Arial" w:hAnsi="Arial" w:cs="Arial"/>
          <w:b/>
          <w:sz w:val="22"/>
          <w:szCs w:val="22"/>
          <w:lang w:val="fr-FR"/>
        </w:rPr>
        <w:t>MOD</w:t>
      </w:r>
      <w:r w:rsidR="002A3D45" w:rsidRPr="00A24BF1">
        <w:rPr>
          <w:rFonts w:ascii="Arial" w:hAnsi="Arial" w:cs="Arial"/>
          <w:b/>
          <w:sz w:val="22"/>
          <w:szCs w:val="22"/>
          <w:lang w:val="fr-FR"/>
        </w:rPr>
        <w:t>ÈLE D’ENGAGEMENT</w:t>
      </w:r>
    </w:p>
    <w:p w14:paraId="478CEDAB" w14:textId="77777777" w:rsidR="009C675B" w:rsidRPr="00A24BF1" w:rsidRDefault="009C675B" w:rsidP="009C675B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14:paraId="04868A6C" w14:textId="79988A98" w:rsidR="00EF6B03" w:rsidRPr="00A24BF1" w:rsidRDefault="00D47926" w:rsidP="00661A1D">
      <w:pPr>
        <w:pStyle w:val="Heading1"/>
        <w:jc w:val="both"/>
        <w:rPr>
          <w:szCs w:val="22"/>
          <w:lang w:val="fr-FR"/>
        </w:rPr>
      </w:pPr>
      <w:r w:rsidRPr="00A24BF1">
        <w:rPr>
          <w:szCs w:val="22"/>
          <w:lang w:val="fr-FR"/>
        </w:rPr>
        <w:t>Titre de l’engagement </w:t>
      </w:r>
      <w:r w:rsidR="00662594" w:rsidRPr="00A24BF1">
        <w:rPr>
          <w:szCs w:val="22"/>
          <w:lang w:val="fr-FR"/>
        </w:rPr>
        <w:t>:</w:t>
      </w:r>
      <w:r w:rsidR="00662594" w:rsidRPr="00A24BF1">
        <w:rPr>
          <w:b w:val="0"/>
          <w:szCs w:val="22"/>
          <w:lang w:val="fr-FR"/>
        </w:rPr>
        <w:t xml:space="preserve"> </w:t>
      </w:r>
      <w:r w:rsidRPr="00A24BF1">
        <w:rPr>
          <w:szCs w:val="22"/>
          <w:lang w:val="fr-FR"/>
        </w:rPr>
        <w:t>Développer le leadership, les capacités et la mise en œuvre au niveau local de l’action humanitaire fondée sur des principes et renforcer la résilience</w:t>
      </w:r>
    </w:p>
    <w:p w14:paraId="387907C8" w14:textId="77777777" w:rsidR="00662594" w:rsidRPr="00A24BF1" w:rsidRDefault="00662594" w:rsidP="00662594">
      <w:pPr>
        <w:pStyle w:val="Heading1"/>
        <w:jc w:val="both"/>
        <w:rPr>
          <w:b w:val="0"/>
          <w:szCs w:val="22"/>
          <w:lang w:val="fr-FR"/>
        </w:rPr>
      </w:pPr>
    </w:p>
    <w:p w14:paraId="162C667D" w14:textId="71A4DA11" w:rsidR="00EF6B03" w:rsidRPr="00A24BF1" w:rsidRDefault="00EF6B03" w:rsidP="00EF6B03">
      <w:pPr>
        <w:pStyle w:val="Indent1"/>
        <w:rPr>
          <w:rFonts w:ascii="Arial" w:hAnsi="Arial" w:cs="Arial"/>
          <w:bCs/>
          <w:sz w:val="22"/>
          <w:szCs w:val="22"/>
          <w:lang w:val="fr-FR"/>
        </w:rPr>
      </w:pPr>
      <w:r w:rsidRPr="00A24BF1">
        <w:rPr>
          <w:rFonts w:ascii="Arial" w:hAnsi="Arial" w:cs="Arial"/>
          <w:b/>
          <w:bCs/>
          <w:sz w:val="22"/>
          <w:szCs w:val="22"/>
          <w:lang w:val="fr-FR"/>
        </w:rPr>
        <w:t>Propos</w:t>
      </w:r>
      <w:r w:rsidR="00D47926" w:rsidRPr="00A24BF1">
        <w:rPr>
          <w:rFonts w:ascii="Arial" w:hAnsi="Arial" w:cs="Arial"/>
          <w:b/>
          <w:bCs/>
          <w:sz w:val="22"/>
          <w:szCs w:val="22"/>
          <w:lang w:val="fr-FR"/>
        </w:rPr>
        <w:t>é par </w:t>
      </w:r>
      <w:r w:rsidRPr="00A24BF1">
        <w:rPr>
          <w:rFonts w:ascii="Arial" w:hAnsi="Arial" w:cs="Arial"/>
          <w:b/>
          <w:bCs/>
          <w:sz w:val="22"/>
          <w:szCs w:val="22"/>
          <w:lang w:val="fr-FR"/>
        </w:rPr>
        <w:t xml:space="preserve">: </w:t>
      </w:r>
      <w:r w:rsidR="00D47926" w:rsidRPr="00A24BF1">
        <w:rPr>
          <w:rFonts w:ascii="Arial" w:hAnsi="Arial" w:cs="Arial"/>
          <w:bCs/>
          <w:sz w:val="22"/>
          <w:szCs w:val="22"/>
          <w:lang w:val="fr-FR"/>
        </w:rPr>
        <w:t>Fédération internationale des Sociétés de la Croix-Rouge et du Croissant-Rouge</w:t>
      </w:r>
    </w:p>
    <w:p w14:paraId="4064934A" w14:textId="77777777" w:rsidR="00587DD0" w:rsidRPr="00A24BF1" w:rsidRDefault="00587DD0" w:rsidP="00661A1D">
      <w:pPr>
        <w:pStyle w:val="Indent1"/>
        <w:ind w:left="0" w:firstLine="0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735B77" w14:textId="75364917" w:rsidR="00661A1D" w:rsidRPr="00A24BF1" w:rsidRDefault="0068601D" w:rsidP="00661A1D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A24BF1">
        <w:rPr>
          <w:rFonts w:ascii="Arial" w:hAnsi="Arial" w:cs="Arial"/>
          <w:b/>
          <w:bCs/>
          <w:sz w:val="22"/>
          <w:szCs w:val="22"/>
          <w:lang w:val="fr-FR"/>
        </w:rPr>
        <w:t>Contexte et objectif du présent document</w:t>
      </w:r>
    </w:p>
    <w:p w14:paraId="7D88DF69" w14:textId="58A900A5" w:rsidR="00661A1D" w:rsidRPr="00A24BF1" w:rsidRDefault="00B63EAD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Le terme « localisation », popularisé par le Grand Compromis, désigne une approche adoptée par le système humanitaire international formel, qui vise à renforcer l’investissement international et le respect du rôle des acteurs locaux, en vue de réduire les coûts et d’accroître la portée de l’action humanitaire</w:t>
      </w:r>
      <w:r w:rsidR="00661A1D" w:rsidRPr="00A24BF1">
        <w:rPr>
          <w:rFonts w:ascii="Arial" w:hAnsi="Arial" w:cs="Arial"/>
          <w:sz w:val="22"/>
          <w:szCs w:val="22"/>
          <w:vertAlign w:val="superscript"/>
          <w:lang w:val="fr-FR"/>
        </w:rPr>
        <w:footnoteReference w:id="2"/>
      </w:r>
      <w:r w:rsidR="00661A1D" w:rsidRPr="00A24BF1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06EFB0AA" w14:textId="77777777" w:rsidR="00661A1D" w:rsidRPr="00A24BF1" w:rsidRDefault="00661A1D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3459246D" w14:textId="53FA51E9" w:rsidR="00661A1D" w:rsidRPr="00A24BF1" w:rsidRDefault="00CC7934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Toutefois, l</w:t>
      </w:r>
      <w:r w:rsidR="00F15EB1" w:rsidRPr="00A24BF1">
        <w:rPr>
          <w:rFonts w:ascii="Arial" w:hAnsi="Arial" w:cs="Arial"/>
          <w:sz w:val="22"/>
          <w:szCs w:val="22"/>
          <w:lang w:val="fr-FR"/>
        </w:rPr>
        <w:t xml:space="preserve">es progrès réalisés au niveau mondial </w:t>
      </w:r>
      <w:r w:rsidR="008C3B67">
        <w:rPr>
          <w:rFonts w:ascii="Arial" w:hAnsi="Arial" w:cs="Arial"/>
          <w:sz w:val="22"/>
          <w:szCs w:val="22"/>
          <w:lang w:val="fr-FR"/>
        </w:rPr>
        <w:t xml:space="preserve">dans la mise en œuvre des engagements </w:t>
      </w:r>
      <w:r w:rsidR="00B64E2F" w:rsidRPr="00A24BF1">
        <w:rPr>
          <w:rFonts w:ascii="Arial" w:hAnsi="Arial" w:cs="Arial"/>
          <w:sz w:val="22"/>
          <w:szCs w:val="22"/>
          <w:lang w:val="fr-FR"/>
        </w:rPr>
        <w:t xml:space="preserve">en matière de localisation </w:t>
      </w:r>
      <w:r w:rsidR="008C3B67">
        <w:rPr>
          <w:rFonts w:ascii="Arial" w:hAnsi="Arial" w:cs="Arial"/>
          <w:sz w:val="22"/>
          <w:szCs w:val="22"/>
          <w:lang w:val="fr-FR"/>
        </w:rPr>
        <w:t xml:space="preserve">pris </w:t>
      </w:r>
      <w:r w:rsidR="00B64E2F" w:rsidRPr="00A24BF1">
        <w:rPr>
          <w:rFonts w:ascii="Arial" w:hAnsi="Arial" w:cs="Arial"/>
          <w:sz w:val="22"/>
          <w:szCs w:val="22"/>
          <w:lang w:val="fr-FR"/>
        </w:rPr>
        <w:t xml:space="preserve">au titre du Grand compromis et d’autres initiatives similaires </w:t>
      </w:r>
      <w:r w:rsidR="00604E5E" w:rsidRPr="00A24BF1">
        <w:rPr>
          <w:rFonts w:ascii="Arial" w:hAnsi="Arial" w:cs="Arial"/>
          <w:sz w:val="22"/>
          <w:szCs w:val="22"/>
          <w:lang w:val="fr-FR"/>
        </w:rPr>
        <w:t>dans les domaines du développement et de l’adaptation aux changements climatiques</w:t>
      </w:r>
      <w:r w:rsidR="00F15EB1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restent </w:t>
      </w:r>
      <w:r w:rsidR="00BD7CBA" w:rsidRPr="00A24BF1">
        <w:rPr>
          <w:rFonts w:ascii="Arial" w:hAnsi="Arial" w:cs="Arial"/>
          <w:sz w:val="22"/>
          <w:szCs w:val="22"/>
          <w:lang w:val="fr-FR"/>
        </w:rPr>
        <w:t>lents</w:t>
      </w:r>
      <w:r w:rsidR="00793E7C" w:rsidRPr="00A24BF1">
        <w:rPr>
          <w:rFonts w:ascii="Arial" w:hAnsi="Arial" w:cs="Arial"/>
          <w:sz w:val="22"/>
          <w:szCs w:val="22"/>
          <w:lang w:val="fr-FR"/>
        </w:rPr>
        <w:t xml:space="preserve">, </w:t>
      </w:r>
      <w:r w:rsidR="007A57D3" w:rsidRPr="00A24BF1">
        <w:rPr>
          <w:rFonts w:ascii="Arial" w:hAnsi="Arial" w:cs="Arial"/>
          <w:sz w:val="22"/>
          <w:szCs w:val="22"/>
          <w:lang w:val="fr-FR"/>
        </w:rPr>
        <w:t xml:space="preserve">sur le plan </w:t>
      </w:r>
      <w:r w:rsidR="00793E7C" w:rsidRPr="00A24BF1">
        <w:rPr>
          <w:rFonts w:ascii="Arial" w:hAnsi="Arial" w:cs="Arial"/>
          <w:sz w:val="22"/>
          <w:szCs w:val="22"/>
          <w:lang w:val="fr-FR"/>
        </w:rPr>
        <w:t xml:space="preserve">tant des financements et du soutien au renforcement des capacités </w:t>
      </w:r>
      <w:r w:rsidR="007A57D3" w:rsidRPr="00A24BF1">
        <w:rPr>
          <w:rFonts w:ascii="Arial" w:hAnsi="Arial" w:cs="Arial"/>
          <w:sz w:val="22"/>
          <w:szCs w:val="22"/>
          <w:lang w:val="fr-FR"/>
        </w:rPr>
        <w:t>que du leadership et de la prise de décisions</w:t>
      </w:r>
      <w:r w:rsidR="00661A1D" w:rsidRPr="00A24BF1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5AD74C0D" w14:textId="77777777" w:rsidR="00661A1D" w:rsidRPr="00A24BF1" w:rsidRDefault="00661A1D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108D827D" w14:textId="2F7C2ADD" w:rsidR="00661A1D" w:rsidRPr="00A24BF1" w:rsidRDefault="00871B2C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Au fil des ans, le discours politique </w:t>
      </w:r>
      <w:r w:rsidR="001A3F2C" w:rsidRPr="00A24BF1">
        <w:rPr>
          <w:rFonts w:ascii="Arial" w:hAnsi="Arial" w:cs="Arial"/>
          <w:sz w:val="22"/>
          <w:szCs w:val="22"/>
          <w:lang w:val="fr-FR"/>
        </w:rPr>
        <w:t xml:space="preserve">sur la localisation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s’est éloigné </w:t>
      </w:r>
      <w:r w:rsidR="001A3F2C" w:rsidRPr="00A24BF1">
        <w:rPr>
          <w:rFonts w:ascii="Arial" w:hAnsi="Arial" w:cs="Arial"/>
          <w:sz w:val="22"/>
          <w:szCs w:val="22"/>
          <w:lang w:val="fr-FR"/>
        </w:rPr>
        <w:t xml:space="preserve">des </w:t>
      </w:r>
      <w:r w:rsidR="00D06B9B" w:rsidRPr="00A24BF1">
        <w:rPr>
          <w:rFonts w:ascii="Arial" w:hAnsi="Arial" w:cs="Arial"/>
          <w:sz w:val="22"/>
          <w:szCs w:val="22"/>
          <w:lang w:val="fr-FR"/>
        </w:rPr>
        <w:t>objectifs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consist</w:t>
      </w:r>
      <w:r w:rsidR="00D06B9B" w:rsidRPr="00A24BF1">
        <w:rPr>
          <w:rFonts w:ascii="Arial" w:hAnsi="Arial" w:cs="Arial"/>
          <w:sz w:val="22"/>
          <w:szCs w:val="22"/>
          <w:lang w:val="fr-FR"/>
        </w:rPr>
        <w:t>ant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à renforcer le rôle des acteurs locaux dans le contexte de l’aide internationale et à respecter les engagements du Grand compromis</w:t>
      </w:r>
      <w:r w:rsidR="00763165" w:rsidRPr="00A24BF1">
        <w:rPr>
          <w:rFonts w:ascii="Arial" w:hAnsi="Arial" w:cs="Arial"/>
          <w:sz w:val="22"/>
          <w:szCs w:val="22"/>
          <w:lang w:val="fr-FR"/>
        </w:rPr>
        <w:t xml:space="preserve">. Il encourage désormais </w:t>
      </w:r>
      <w:r w:rsidR="00AF3C3E" w:rsidRPr="00A24BF1">
        <w:rPr>
          <w:rFonts w:ascii="Arial" w:hAnsi="Arial" w:cs="Arial"/>
          <w:sz w:val="22"/>
          <w:szCs w:val="22"/>
          <w:lang w:val="fr-FR"/>
        </w:rPr>
        <w:t>l’action dirigée au niveau local</w:t>
      </w:r>
      <w:r w:rsidR="00452E47" w:rsidRPr="00A24BF1">
        <w:rPr>
          <w:rFonts w:ascii="Arial" w:hAnsi="Arial" w:cs="Arial"/>
          <w:sz w:val="22"/>
          <w:szCs w:val="22"/>
          <w:lang w:val="fr-FR"/>
        </w:rPr>
        <w:t xml:space="preserve">, qui met l’accent sur le pouvoir </w:t>
      </w:r>
      <w:r w:rsidR="008B4F17" w:rsidRPr="00A24BF1">
        <w:rPr>
          <w:rFonts w:ascii="Arial" w:hAnsi="Arial" w:cs="Arial"/>
          <w:sz w:val="22"/>
          <w:szCs w:val="22"/>
          <w:lang w:val="fr-FR"/>
        </w:rPr>
        <w:t xml:space="preserve">d’action et de </w:t>
      </w:r>
      <w:r w:rsidR="002F063A">
        <w:rPr>
          <w:rFonts w:ascii="Arial" w:hAnsi="Arial" w:cs="Arial"/>
          <w:sz w:val="22"/>
          <w:szCs w:val="22"/>
          <w:lang w:val="fr-FR"/>
        </w:rPr>
        <w:t>décision</w:t>
      </w:r>
      <w:r w:rsidR="008B4F17" w:rsidRPr="00A24BF1">
        <w:rPr>
          <w:rFonts w:ascii="Arial" w:hAnsi="Arial" w:cs="Arial"/>
          <w:sz w:val="22"/>
          <w:szCs w:val="22"/>
          <w:lang w:val="fr-FR"/>
        </w:rPr>
        <w:t xml:space="preserve"> des personnes touchées et des </w:t>
      </w:r>
      <w:r w:rsidR="00B312DC" w:rsidRPr="00A24BF1">
        <w:rPr>
          <w:rFonts w:ascii="Arial" w:hAnsi="Arial" w:cs="Arial"/>
          <w:sz w:val="22"/>
          <w:szCs w:val="22"/>
          <w:lang w:val="fr-FR"/>
        </w:rPr>
        <w:t xml:space="preserve">acteurs </w:t>
      </w:r>
      <w:r w:rsidR="00D731B6" w:rsidRPr="00A24BF1">
        <w:rPr>
          <w:rFonts w:ascii="Arial" w:hAnsi="Arial" w:cs="Arial"/>
          <w:sz w:val="22"/>
          <w:szCs w:val="22"/>
          <w:lang w:val="fr-FR"/>
        </w:rPr>
        <w:t>dans l’action humanitaire</w:t>
      </w:r>
      <w:r w:rsidR="00661A1D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1FD3C13D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</w:p>
    <w:p w14:paraId="19A9141C" w14:textId="21D353AF" w:rsidR="00661A1D" w:rsidRPr="00A24BF1" w:rsidRDefault="00795EDC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Le Mouvement international de la Croix-Rouge et du Croissant-Rouge (Mouvement)</w:t>
      </w:r>
      <w:r w:rsidR="009C5517" w:rsidRPr="00A24BF1">
        <w:rPr>
          <w:rFonts w:ascii="Arial" w:hAnsi="Arial" w:cs="Arial"/>
          <w:sz w:val="22"/>
          <w:szCs w:val="22"/>
          <w:lang w:val="fr-FR"/>
        </w:rPr>
        <w:t>, composé</w:t>
      </w:r>
      <w:r w:rsidR="0076336F" w:rsidRPr="00A24BF1">
        <w:rPr>
          <w:rFonts w:ascii="Arial" w:hAnsi="Arial" w:cs="Arial"/>
          <w:sz w:val="22"/>
          <w:szCs w:val="22"/>
          <w:lang w:val="fr-FR"/>
        </w:rPr>
        <w:t xml:space="preserve"> d’entités locales, nationales et mondiales qui travaillent ensemble </w:t>
      </w:r>
      <w:r w:rsidR="007947DA" w:rsidRPr="00A24BF1">
        <w:rPr>
          <w:rFonts w:ascii="Arial" w:hAnsi="Arial" w:cs="Arial"/>
          <w:sz w:val="22"/>
          <w:szCs w:val="22"/>
          <w:lang w:val="fr-FR"/>
        </w:rPr>
        <w:t>de façon complémentaire dans le respect des Principes fondamentaux,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1C18D6" w:rsidRPr="00A24BF1">
        <w:rPr>
          <w:rFonts w:ascii="Arial" w:hAnsi="Arial" w:cs="Arial"/>
          <w:sz w:val="22"/>
          <w:szCs w:val="22"/>
          <w:lang w:val="fr-FR"/>
        </w:rPr>
        <w:t>a une structure et une identité uniques qu’il tire des Conventions de Genève et de ses Statuts</w:t>
      </w:r>
      <w:r w:rsidR="00661A1D" w:rsidRPr="00A24BF1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06752C93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</w:p>
    <w:p w14:paraId="583BB1EF" w14:textId="64B51135" w:rsidR="00661A1D" w:rsidRPr="00A24BF1" w:rsidRDefault="006C6ACE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Le Mouvement est composé de 191 Sociétés nationales </w:t>
      </w:r>
      <w:r w:rsidR="003B6C0A" w:rsidRPr="00A24BF1">
        <w:rPr>
          <w:rFonts w:ascii="Arial" w:hAnsi="Arial" w:cs="Arial"/>
          <w:sz w:val="22"/>
          <w:szCs w:val="22"/>
          <w:lang w:val="fr-FR"/>
        </w:rPr>
        <w:t xml:space="preserve">de la Croix-Rouge et du Croissant-Rouge (Sociétés nationales) </w:t>
      </w:r>
      <w:r w:rsidR="00A16CA4" w:rsidRPr="00A24BF1">
        <w:rPr>
          <w:rFonts w:ascii="Arial" w:hAnsi="Arial" w:cs="Arial"/>
          <w:sz w:val="22"/>
          <w:szCs w:val="22"/>
          <w:lang w:val="fr-FR"/>
        </w:rPr>
        <w:t>dotées d’un statut spécial d’</w:t>
      </w:r>
      <w:r w:rsidR="0045377C" w:rsidRPr="00A24BF1">
        <w:rPr>
          <w:rFonts w:ascii="Arial" w:hAnsi="Arial" w:cs="Arial"/>
          <w:sz w:val="22"/>
          <w:szCs w:val="22"/>
          <w:lang w:val="fr-FR"/>
        </w:rPr>
        <w:t>auxiliaires</w:t>
      </w:r>
      <w:r w:rsidR="00A16CA4" w:rsidRPr="00A24BF1">
        <w:rPr>
          <w:rFonts w:ascii="Arial" w:hAnsi="Arial" w:cs="Arial"/>
          <w:sz w:val="22"/>
          <w:szCs w:val="22"/>
          <w:lang w:val="fr-FR"/>
        </w:rPr>
        <w:t xml:space="preserve"> des pouvoirs publics de leur pays dans le domaine humanitaire, de l</w:t>
      </w:r>
      <w:r w:rsidR="00A626C3" w:rsidRPr="00A24BF1">
        <w:rPr>
          <w:rFonts w:ascii="Arial" w:hAnsi="Arial" w:cs="Arial"/>
          <w:sz w:val="22"/>
          <w:szCs w:val="22"/>
          <w:lang w:val="fr-FR"/>
        </w:rPr>
        <w:t xml:space="preserve">a Fédération internationale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des Sociétés de la </w:t>
      </w:r>
      <w:r w:rsidRPr="00A24BF1">
        <w:rPr>
          <w:rFonts w:ascii="Arial" w:hAnsi="Arial" w:cs="Arial"/>
          <w:sz w:val="22"/>
          <w:szCs w:val="22"/>
          <w:lang w:val="fr-FR"/>
        </w:rPr>
        <w:lastRenderedPageBreak/>
        <w:t xml:space="preserve">Croix-Rouge et du Croissant-Rouge (Fédération internationale) et </w:t>
      </w:r>
      <w:r w:rsidR="0045377C" w:rsidRPr="00A24BF1">
        <w:rPr>
          <w:rFonts w:ascii="Arial" w:hAnsi="Arial" w:cs="Arial"/>
          <w:sz w:val="22"/>
          <w:szCs w:val="22"/>
          <w:lang w:val="fr-FR"/>
        </w:rPr>
        <w:t>du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Comité international de la Croix-Rouge (CICR)</w:t>
      </w:r>
      <w:r w:rsidR="00661A1D" w:rsidRPr="00A24BF1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0525EFF3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</w:p>
    <w:p w14:paraId="1B72F3C1" w14:textId="024D5976" w:rsidR="00661A1D" w:rsidRPr="00A24BF1" w:rsidRDefault="0045377C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La Fédération internationale et le CICR proposent </w:t>
      </w:r>
      <w:r w:rsidR="002F063A">
        <w:rPr>
          <w:rFonts w:ascii="Arial" w:hAnsi="Arial" w:cs="Arial"/>
          <w:sz w:val="22"/>
          <w:szCs w:val="22"/>
          <w:lang w:val="fr-FR"/>
        </w:rPr>
        <w:t>d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e saisir l’occasion de la </w:t>
      </w:r>
      <w:proofErr w:type="spellStart"/>
      <w:r w:rsidR="008D0C43" w:rsidRPr="00A24BF1">
        <w:rPr>
          <w:rFonts w:ascii="Arial" w:hAnsi="Arial" w:cs="Arial"/>
          <w:sz w:val="22"/>
          <w:szCs w:val="22"/>
          <w:lang w:val="fr-FR"/>
        </w:rPr>
        <w:t>XXXIV</w:t>
      </w:r>
      <w:r w:rsidR="008D0C43" w:rsidRPr="00A24BF1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proofErr w:type="spellEnd"/>
      <w:r w:rsidR="008D0C43" w:rsidRPr="00A24BF1">
        <w:rPr>
          <w:rFonts w:ascii="Arial" w:hAnsi="Arial" w:cs="Arial"/>
          <w:sz w:val="22"/>
          <w:szCs w:val="22"/>
          <w:lang w:val="fr-FR"/>
        </w:rPr>
        <w:t xml:space="preserve"> Conférence internationale de la Croix-Rouge et du Croissant-Rouge pour adopter une </w:t>
      </w:r>
      <w:r w:rsidR="00EA4B2B" w:rsidRPr="00A24BF1">
        <w:rPr>
          <w:rFonts w:ascii="Arial" w:hAnsi="Arial" w:cs="Arial"/>
          <w:sz w:val="22"/>
          <w:szCs w:val="22"/>
          <w:lang w:val="fr-FR"/>
        </w:rPr>
        <w:t>résolution</w:t>
      </w:r>
      <w:r w:rsidR="008D0C43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5A46EB" w:rsidRPr="00A24BF1">
        <w:rPr>
          <w:rFonts w:ascii="Arial" w:hAnsi="Arial" w:cs="Arial"/>
          <w:sz w:val="22"/>
          <w:szCs w:val="22"/>
          <w:lang w:val="fr-FR"/>
        </w:rPr>
        <w:t xml:space="preserve">visant à faire mieux comprendre le rôle des acteurs locaux, tels que les Sociétés nationales, </w:t>
      </w:r>
      <w:r w:rsidR="00EA4B2B" w:rsidRPr="00A24BF1">
        <w:rPr>
          <w:rFonts w:ascii="Arial" w:hAnsi="Arial" w:cs="Arial"/>
          <w:sz w:val="22"/>
          <w:szCs w:val="22"/>
          <w:lang w:val="fr-FR"/>
        </w:rPr>
        <w:t>dans la fourniture en toutes circonstances de services humanitaires durables, et à améliorer le soutien à cet égard</w:t>
      </w:r>
      <w:r w:rsidR="00661A1D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1776F2A3" w14:textId="77777777" w:rsidR="00A14566" w:rsidRPr="00A24BF1" w:rsidRDefault="00A14566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23FDE89D" w14:textId="7E85B740" w:rsidR="00661A1D" w:rsidRPr="00A24BF1" w:rsidRDefault="00E414F9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Le présent document présente une liste de mesures potentielles concrètes et orientées vers l’action qui peuvent être</w:t>
      </w:r>
      <w:r w:rsidR="00A14566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3D070B" w:rsidRPr="00A24BF1">
        <w:rPr>
          <w:rFonts w:ascii="Arial" w:hAnsi="Arial" w:cs="Arial"/>
          <w:sz w:val="22"/>
          <w:szCs w:val="22"/>
          <w:lang w:val="fr-FR"/>
        </w:rPr>
        <w:t xml:space="preserve">adaptées au contexte et aux priorités </w:t>
      </w:r>
      <w:r w:rsidR="00E21047" w:rsidRPr="00A24BF1">
        <w:rPr>
          <w:rFonts w:ascii="Arial" w:hAnsi="Arial" w:cs="Arial"/>
          <w:sz w:val="22"/>
          <w:szCs w:val="22"/>
          <w:lang w:val="fr-FR"/>
        </w:rPr>
        <w:t xml:space="preserve">de chaque signataire </w:t>
      </w:r>
      <w:r w:rsidR="00337965" w:rsidRPr="00A24BF1">
        <w:rPr>
          <w:rFonts w:ascii="Arial" w:hAnsi="Arial" w:cs="Arial"/>
          <w:sz w:val="22"/>
          <w:szCs w:val="22"/>
          <w:lang w:val="fr-FR"/>
        </w:rPr>
        <w:t>pour</w:t>
      </w:r>
      <w:r w:rsidR="00E21047" w:rsidRPr="00A24BF1">
        <w:rPr>
          <w:rFonts w:ascii="Arial" w:hAnsi="Arial" w:cs="Arial"/>
          <w:sz w:val="22"/>
          <w:szCs w:val="22"/>
          <w:lang w:val="fr-FR"/>
        </w:rPr>
        <w:t xml:space="preserve"> réaliser de</w:t>
      </w:r>
      <w:r w:rsidR="00337965" w:rsidRPr="00A24BF1">
        <w:rPr>
          <w:rFonts w:ascii="Arial" w:hAnsi="Arial" w:cs="Arial"/>
          <w:sz w:val="22"/>
          <w:szCs w:val="22"/>
          <w:lang w:val="fr-FR"/>
        </w:rPr>
        <w:t>s progrès véritables et transformateurs en matière d’action dirigée au niveau local</w:t>
      </w:r>
      <w:r w:rsidR="00661A1D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5ED19D09" w14:textId="77777777" w:rsidR="00661A1D" w:rsidRPr="00A24BF1" w:rsidRDefault="00661A1D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2A823F7B" w14:textId="4162C621" w:rsidR="00661A1D" w:rsidRPr="00A24BF1" w:rsidRDefault="008A4D34" w:rsidP="00661A1D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A24BF1">
        <w:rPr>
          <w:rFonts w:ascii="Arial" w:hAnsi="Arial" w:cs="Arial"/>
          <w:b/>
          <w:bCs/>
          <w:sz w:val="22"/>
          <w:szCs w:val="22"/>
          <w:lang w:val="fr-FR"/>
        </w:rPr>
        <w:t>Liste de mesures potentielles</w:t>
      </w:r>
    </w:p>
    <w:p w14:paraId="61CA2A06" w14:textId="4A2AABFA" w:rsidR="00661A1D" w:rsidRPr="00A24BF1" w:rsidRDefault="006927FC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Entreprendre un processus d'examen et de changement organisationnel/institutionnel pour s'assurer que les politiques et les procédures soutiennent </w:t>
      </w:r>
      <w:r w:rsidR="009912C5" w:rsidRPr="00A24BF1">
        <w:rPr>
          <w:rFonts w:ascii="Arial" w:hAnsi="Arial" w:cs="Arial"/>
          <w:sz w:val="22"/>
          <w:szCs w:val="22"/>
          <w:lang w:val="fr-FR"/>
        </w:rPr>
        <w:t>et/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ou favorisent des partenariats efficaces et équitables avec les </w:t>
      </w:r>
      <w:r w:rsidR="00316DFA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>ociétés nationales et d'autres acteurs locaux concernés.</w:t>
      </w:r>
    </w:p>
    <w:p w14:paraId="23BB07F1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592C6145" w14:textId="2C3EE810" w:rsidR="00661A1D" w:rsidRPr="00A24BF1" w:rsidRDefault="000715B1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Approuver le </w:t>
      </w:r>
      <w:hyperlink r:id="rId13" w:history="1">
        <w:r w:rsidRPr="00A24BF1">
          <w:rPr>
            <w:rStyle w:val="Hyperlink"/>
            <w:rFonts w:ascii="Arial" w:hAnsi="Arial" w:cs="Arial"/>
            <w:sz w:val="22"/>
            <w:szCs w:val="22"/>
            <w:lang w:val="fr-FR"/>
          </w:rPr>
          <w:t>document final</w:t>
        </w:r>
      </w:hyperlink>
      <w:r w:rsidRPr="00A24BF1">
        <w:rPr>
          <w:rFonts w:ascii="Arial" w:hAnsi="Arial" w:cs="Arial"/>
          <w:sz w:val="22"/>
          <w:szCs w:val="22"/>
          <w:lang w:val="fr-FR"/>
        </w:rPr>
        <w:t xml:space="preserve"> (en anglais) du caucus du Grand </w:t>
      </w:r>
      <w:r w:rsidR="00A32F19" w:rsidRPr="00A24BF1">
        <w:rPr>
          <w:rFonts w:ascii="Arial" w:hAnsi="Arial" w:cs="Arial"/>
          <w:sz w:val="22"/>
          <w:szCs w:val="22"/>
          <w:lang w:val="fr-FR"/>
        </w:rPr>
        <w:t>compromis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sur le rôle des intermédiaires et élaborer un plan d'action/de mise en œuvre</w:t>
      </w:r>
      <w:r w:rsidR="002613E5" w:rsidRPr="00A24BF1">
        <w:rPr>
          <w:rFonts w:ascii="Arial" w:hAnsi="Arial" w:cs="Arial"/>
          <w:sz w:val="22"/>
          <w:szCs w:val="22"/>
          <w:lang w:val="fr-FR"/>
        </w:rPr>
        <w:t>, comme il convient</w:t>
      </w:r>
      <w:r w:rsidR="00816849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169C812A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D13EDB8" w14:textId="420A8C48" w:rsidR="00661A1D" w:rsidRPr="00A24BF1" w:rsidRDefault="00EA54CB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Investir dans des partenariats ou des relations stratégiques à long terme </w:t>
      </w:r>
      <w:r w:rsidR="00556AFD" w:rsidRPr="00A24BF1">
        <w:rPr>
          <w:rFonts w:ascii="Arial" w:hAnsi="Arial" w:cs="Arial"/>
          <w:sz w:val="22"/>
          <w:szCs w:val="22"/>
          <w:lang w:val="fr-FR"/>
        </w:rPr>
        <w:t xml:space="preserve">avec les Sociétés nationales et d'autres acteurs locaux concernés, </w:t>
      </w:r>
      <w:r w:rsidR="00F27D61" w:rsidRPr="00A24BF1">
        <w:rPr>
          <w:rFonts w:ascii="Arial" w:hAnsi="Arial" w:cs="Arial"/>
          <w:sz w:val="22"/>
          <w:szCs w:val="22"/>
          <w:lang w:val="fr-FR"/>
        </w:rPr>
        <w:t xml:space="preserve">qui soient </w:t>
      </w:r>
      <w:r w:rsidRPr="00A24BF1">
        <w:rPr>
          <w:rFonts w:ascii="Arial" w:hAnsi="Arial" w:cs="Arial"/>
          <w:sz w:val="22"/>
          <w:szCs w:val="22"/>
          <w:lang w:val="fr-FR"/>
        </w:rPr>
        <w:t>fondés sur de</w:t>
      </w:r>
      <w:r w:rsidR="00DA748B" w:rsidRPr="00A24BF1">
        <w:rPr>
          <w:rFonts w:ascii="Arial" w:hAnsi="Arial" w:cs="Arial"/>
          <w:sz w:val="22"/>
          <w:szCs w:val="22"/>
          <w:lang w:val="fr-FR"/>
        </w:rPr>
        <w:t>s accords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8574A9" w:rsidRPr="00A24BF1">
        <w:rPr>
          <w:rFonts w:ascii="Arial" w:hAnsi="Arial" w:cs="Arial"/>
          <w:sz w:val="22"/>
          <w:szCs w:val="22"/>
          <w:lang w:val="fr-FR"/>
        </w:rPr>
        <w:t>authentiques</w:t>
      </w:r>
      <w:r w:rsidR="00DA748B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équitables, le respect mutuel, la transparence, la confiance, </w:t>
      </w:r>
      <w:r w:rsidR="00D14769" w:rsidRPr="00A24BF1">
        <w:rPr>
          <w:rFonts w:ascii="Arial" w:hAnsi="Arial" w:cs="Arial"/>
          <w:sz w:val="22"/>
          <w:szCs w:val="22"/>
          <w:lang w:val="fr-FR"/>
        </w:rPr>
        <w:t>la responsabilité partagée et l’obligation de rendre des comptes</w:t>
      </w:r>
      <w:r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50936DEE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42ED253E" w14:textId="49F24060" w:rsidR="00661A1D" w:rsidRPr="00A24BF1" w:rsidRDefault="0040778B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Soutenir et promouvoir l'action locale en garantissant la participation constructive des acteurs locaux aux principaux mécanismes de prise de décision et de coordination humanitaires.</w:t>
      </w:r>
    </w:p>
    <w:p w14:paraId="1EBA96F0" w14:textId="77777777" w:rsidR="00661A1D" w:rsidRPr="00A24BF1" w:rsidRDefault="00661A1D" w:rsidP="00661A1D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14:paraId="773D3FBD" w14:textId="652FB44C" w:rsidR="00661A1D" w:rsidRPr="00A24BF1" w:rsidRDefault="00B3350A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Collaborer à l’intégration d’une approche du partage des risques </w:t>
      </w:r>
      <w:r w:rsidR="00197980" w:rsidRPr="00A24BF1">
        <w:rPr>
          <w:rFonts w:ascii="Arial" w:hAnsi="Arial" w:cs="Arial"/>
          <w:sz w:val="22"/>
          <w:szCs w:val="22"/>
          <w:lang w:val="fr-FR"/>
        </w:rPr>
        <w:t>en favorisant un dialogue et une répartition plus équitables des risques dans le but ultime d’apporter un meilleur soutien aux populations touchées</w:t>
      </w:r>
      <w:r w:rsidR="008A62AE" w:rsidRPr="00A24BF1">
        <w:rPr>
          <w:rFonts w:ascii="Arial" w:hAnsi="Arial" w:cs="Arial"/>
          <w:sz w:val="22"/>
          <w:szCs w:val="22"/>
          <w:lang w:val="fr-FR"/>
        </w:rPr>
        <w:t xml:space="preserve">, </w:t>
      </w:r>
      <w:r w:rsidR="00191D19" w:rsidRPr="00A24BF1">
        <w:rPr>
          <w:rFonts w:ascii="Arial" w:hAnsi="Arial" w:cs="Arial"/>
          <w:sz w:val="22"/>
          <w:szCs w:val="22"/>
          <w:lang w:val="fr-FR"/>
        </w:rPr>
        <w:t>d’</w:t>
      </w:r>
      <w:r w:rsidR="008A62AE" w:rsidRPr="00A24BF1">
        <w:rPr>
          <w:rFonts w:ascii="Arial" w:hAnsi="Arial" w:cs="Arial"/>
          <w:sz w:val="22"/>
          <w:szCs w:val="22"/>
          <w:lang w:val="fr-FR"/>
        </w:rPr>
        <w:t xml:space="preserve">identifier les risques et </w:t>
      </w:r>
      <w:r w:rsidR="00191D19" w:rsidRPr="00A24BF1">
        <w:rPr>
          <w:rFonts w:ascii="Arial" w:hAnsi="Arial" w:cs="Arial"/>
          <w:sz w:val="22"/>
          <w:szCs w:val="22"/>
          <w:lang w:val="fr-FR"/>
        </w:rPr>
        <w:t>de</w:t>
      </w:r>
      <w:r w:rsidR="008A62AE" w:rsidRPr="00A24BF1">
        <w:rPr>
          <w:rFonts w:ascii="Arial" w:hAnsi="Arial" w:cs="Arial"/>
          <w:sz w:val="22"/>
          <w:szCs w:val="22"/>
          <w:lang w:val="fr-FR"/>
        </w:rPr>
        <w:t xml:space="preserve"> promouvoir une culture de gestion des risques.</w:t>
      </w:r>
    </w:p>
    <w:p w14:paraId="03C32B9A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716C62D2" w14:textId="4846799A" w:rsidR="00661A1D" w:rsidRPr="00A24BF1" w:rsidRDefault="00EA6EE8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Investir dans le renforcement des capacités des acteurs locaux, tels que les Sociétés nationales, y compris au moyen de financements flexibles </w:t>
      </w:r>
      <w:r w:rsidR="00F97667" w:rsidRPr="00A24BF1">
        <w:rPr>
          <w:rFonts w:ascii="Arial" w:hAnsi="Arial" w:cs="Arial"/>
          <w:sz w:val="22"/>
          <w:szCs w:val="22"/>
          <w:lang w:val="fr-FR"/>
        </w:rPr>
        <w:t>favorisant la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résilience institutionnelle</w:t>
      </w:r>
      <w:r w:rsidR="00661A1D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6618151D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44EED912" w14:textId="0DAC1BCF" w:rsidR="00661A1D" w:rsidRPr="00A24BF1" w:rsidRDefault="00F97667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Fournir des financements à long terme non affecté</w:t>
      </w:r>
      <w:r w:rsidR="00F05B3F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F05B3F" w:rsidRPr="00A24BF1">
        <w:rPr>
          <w:rFonts w:ascii="Arial" w:hAnsi="Arial" w:cs="Arial"/>
          <w:sz w:val="22"/>
          <w:szCs w:val="22"/>
          <w:lang w:val="fr-FR"/>
        </w:rPr>
        <w:t>et/</w:t>
      </w:r>
      <w:r w:rsidRPr="00A24BF1">
        <w:rPr>
          <w:rFonts w:ascii="Arial" w:hAnsi="Arial" w:cs="Arial"/>
          <w:sz w:val="22"/>
          <w:szCs w:val="22"/>
          <w:lang w:val="fr-FR"/>
        </w:rPr>
        <w:t>ou flexible</w:t>
      </w:r>
      <w:r w:rsidR="00F05B3F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aux acteurs locaux et les aider à gérer les risques et à mettre en place des mécanismes de conformité appropriés.</w:t>
      </w:r>
    </w:p>
    <w:p w14:paraId="1A0A51B9" w14:textId="77777777" w:rsidR="00661A1D" w:rsidRPr="00A24BF1" w:rsidRDefault="00661A1D" w:rsidP="00661A1D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14:paraId="18EDD2F1" w14:textId="1430E9AE" w:rsidR="00661A1D" w:rsidRPr="00A24BF1" w:rsidRDefault="0061262A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Accroître les investissements </w:t>
      </w:r>
      <w:r w:rsidR="00E50C98" w:rsidRPr="00A24BF1">
        <w:rPr>
          <w:rFonts w:ascii="Arial" w:hAnsi="Arial" w:cs="Arial"/>
          <w:sz w:val="22"/>
          <w:szCs w:val="22"/>
          <w:lang w:val="fr-FR"/>
        </w:rPr>
        <w:t xml:space="preserve">et prendre toutes les mesures raisonnables pour assurer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la sécurité et le bien-être des volontaires locaux, y compris </w:t>
      </w:r>
      <w:r w:rsidR="00E50C98" w:rsidRPr="00A24BF1">
        <w:rPr>
          <w:rFonts w:ascii="Arial" w:hAnsi="Arial" w:cs="Arial"/>
          <w:sz w:val="22"/>
          <w:szCs w:val="22"/>
          <w:lang w:val="fr-FR"/>
        </w:rPr>
        <w:t>les volontaires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de la Croix-Rouge et du Croissant-Rouge.</w:t>
      </w:r>
    </w:p>
    <w:p w14:paraId="76C22BE2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121A701F" w14:textId="15C85229" w:rsidR="00661A1D" w:rsidRPr="00A24BF1" w:rsidRDefault="009A2261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Promouvoir une action humanitaire dirigée au niveau local, fondée sur les besoins et </w:t>
      </w:r>
      <w:r w:rsidR="00A52877" w:rsidRPr="00A24BF1">
        <w:rPr>
          <w:rFonts w:ascii="Arial" w:hAnsi="Arial" w:cs="Arial"/>
          <w:iCs/>
          <w:sz w:val="22"/>
          <w:szCs w:val="22"/>
          <w:lang w:val="fr-FR"/>
        </w:rPr>
        <w:t>garantissant la mobilisation inclusive des</w:t>
      </w:r>
      <w:r w:rsidR="00566F3B" w:rsidRPr="00A24BF1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communautés </w:t>
      </w:r>
      <w:r w:rsidR="00A52877" w:rsidRPr="00A24BF1">
        <w:rPr>
          <w:rFonts w:ascii="Arial" w:hAnsi="Arial" w:cs="Arial"/>
          <w:iCs/>
          <w:sz w:val="22"/>
          <w:szCs w:val="22"/>
          <w:lang w:val="fr-FR"/>
        </w:rPr>
        <w:t>touchées</w:t>
      </w:r>
      <w:r w:rsidR="00024F68" w:rsidRPr="00A24BF1">
        <w:rPr>
          <w:rFonts w:ascii="Arial" w:hAnsi="Arial" w:cs="Arial"/>
          <w:iCs/>
          <w:sz w:val="22"/>
          <w:szCs w:val="22"/>
          <w:lang w:val="fr-FR"/>
        </w:rPr>
        <w:t xml:space="preserve"> dans toute leur diversité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, y compris </w:t>
      </w:r>
      <w:r w:rsidR="00F65089" w:rsidRPr="00A24BF1">
        <w:rPr>
          <w:rFonts w:ascii="Arial" w:hAnsi="Arial" w:cs="Arial"/>
          <w:iCs/>
          <w:sz w:val="22"/>
          <w:szCs w:val="22"/>
          <w:lang w:val="fr-FR"/>
        </w:rPr>
        <w:t>les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 groupes représentant </w:t>
      </w:r>
      <w:r w:rsidR="00313B2C" w:rsidRPr="00A24BF1">
        <w:rPr>
          <w:rFonts w:ascii="Arial" w:hAnsi="Arial" w:cs="Arial"/>
          <w:iCs/>
          <w:sz w:val="22"/>
          <w:szCs w:val="22"/>
          <w:lang w:val="fr-FR"/>
        </w:rPr>
        <w:t>d</w:t>
      </w:r>
      <w:r w:rsidRPr="00A24BF1">
        <w:rPr>
          <w:rFonts w:ascii="Arial" w:hAnsi="Arial" w:cs="Arial"/>
          <w:iCs/>
          <w:sz w:val="22"/>
          <w:szCs w:val="22"/>
          <w:lang w:val="fr-FR"/>
        </w:rPr>
        <w:t>es personnes marginalisées</w:t>
      </w:r>
      <w:r w:rsidR="00661A1D" w:rsidRPr="00A24BF1">
        <w:rPr>
          <w:rFonts w:ascii="Arial" w:hAnsi="Arial" w:cs="Arial"/>
          <w:iCs/>
          <w:sz w:val="22"/>
          <w:szCs w:val="22"/>
          <w:lang w:val="fr-FR"/>
        </w:rPr>
        <w:t>.</w:t>
      </w:r>
    </w:p>
    <w:p w14:paraId="1B4C01D9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4DEF983B" w14:textId="33B65FB1" w:rsidR="00661A1D" w:rsidRPr="00A24BF1" w:rsidRDefault="001B0237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Veiller à ce que la voix des personnes en situation de vulnérabilité soit entendue aux niveaux local, national, régional et mondial par le biais de la diplomatie humanitaire, </w:t>
      </w:r>
      <w:r w:rsidRPr="00A24BF1">
        <w:rPr>
          <w:rFonts w:ascii="Arial" w:hAnsi="Arial" w:cs="Arial"/>
          <w:iCs/>
          <w:sz w:val="22"/>
          <w:szCs w:val="22"/>
          <w:lang w:val="fr-FR"/>
        </w:rPr>
        <w:lastRenderedPageBreak/>
        <w:t xml:space="preserve">notamment en utilisant </w:t>
      </w:r>
      <w:r w:rsidR="00BF28FF">
        <w:rPr>
          <w:rFonts w:ascii="Arial" w:hAnsi="Arial" w:cs="Arial"/>
          <w:iCs/>
          <w:sz w:val="22"/>
          <w:szCs w:val="22"/>
          <w:lang w:val="fr-FR"/>
        </w:rPr>
        <w:t>davantage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 les langues locales, en organisant des réunions dans les </w:t>
      </w:r>
      <w:r w:rsidR="004730E1" w:rsidRPr="00A24BF1">
        <w:rPr>
          <w:rFonts w:ascii="Arial" w:hAnsi="Arial" w:cs="Arial"/>
          <w:iCs/>
          <w:sz w:val="22"/>
          <w:szCs w:val="22"/>
          <w:lang w:val="fr-FR"/>
        </w:rPr>
        <w:t xml:space="preserve">localités plutôt que les 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capitales et, si nécessaire, en </w:t>
      </w:r>
      <w:r w:rsidR="00032708" w:rsidRPr="00A24BF1">
        <w:rPr>
          <w:rFonts w:ascii="Arial" w:hAnsi="Arial" w:cs="Arial"/>
          <w:iCs/>
          <w:sz w:val="22"/>
          <w:szCs w:val="22"/>
          <w:lang w:val="fr-FR"/>
        </w:rPr>
        <w:t>accompagnant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 les acteurs locaux </w:t>
      </w:r>
      <w:r w:rsidR="004865A4" w:rsidRPr="00A24BF1">
        <w:rPr>
          <w:rFonts w:ascii="Arial" w:hAnsi="Arial" w:cs="Arial"/>
          <w:iCs/>
          <w:sz w:val="22"/>
          <w:szCs w:val="22"/>
          <w:lang w:val="fr-FR"/>
        </w:rPr>
        <w:t xml:space="preserve">dans l’accomplissement de leur rôle de leadership </w:t>
      </w:r>
      <w:r w:rsidRPr="00A24BF1">
        <w:rPr>
          <w:rFonts w:ascii="Arial" w:hAnsi="Arial" w:cs="Arial"/>
          <w:iCs/>
          <w:sz w:val="22"/>
          <w:szCs w:val="22"/>
          <w:lang w:val="fr-FR"/>
        </w:rPr>
        <w:t>afin de mieux répondre à leurs besoins.</w:t>
      </w:r>
    </w:p>
    <w:p w14:paraId="7BAFE453" w14:textId="77777777" w:rsidR="00661A1D" w:rsidRPr="00A24BF1" w:rsidRDefault="00661A1D" w:rsidP="00661A1D">
      <w:pPr>
        <w:pStyle w:val="Indent1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25D73CA4" w14:textId="08D23B73" w:rsidR="00661A1D" w:rsidRPr="00A24BF1" w:rsidRDefault="003E583E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Identifier les possibilités d'accroître le</w:t>
      </w:r>
      <w:r w:rsidR="0054030C" w:rsidRPr="00A24BF1">
        <w:rPr>
          <w:rFonts w:ascii="Arial" w:hAnsi="Arial" w:cs="Arial"/>
          <w:sz w:val="22"/>
          <w:szCs w:val="22"/>
          <w:lang w:val="fr-FR"/>
        </w:rPr>
        <w:t xml:space="preserve">s </w:t>
      </w:r>
      <w:r w:rsidRPr="00A24BF1">
        <w:rPr>
          <w:rFonts w:ascii="Arial" w:hAnsi="Arial" w:cs="Arial"/>
          <w:sz w:val="22"/>
          <w:szCs w:val="22"/>
          <w:lang w:val="fr-FR"/>
        </w:rPr>
        <w:t>financement</w:t>
      </w:r>
      <w:r w:rsidR="0054030C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direct</w:t>
      </w:r>
      <w:r w:rsidR="0054030C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et aussi direct</w:t>
      </w:r>
      <w:r w:rsidR="0054030C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que possible </w:t>
      </w:r>
      <w:r w:rsidR="007F385F">
        <w:rPr>
          <w:rFonts w:ascii="Arial" w:hAnsi="Arial" w:cs="Arial"/>
          <w:sz w:val="22"/>
          <w:szCs w:val="22"/>
          <w:lang w:val="fr-FR"/>
        </w:rPr>
        <w:t>aux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acteurs locaux et s'efforcer de </w:t>
      </w:r>
      <w:r w:rsidR="000933FB" w:rsidRPr="00A24BF1">
        <w:rPr>
          <w:rFonts w:ascii="Arial" w:hAnsi="Arial" w:cs="Arial"/>
          <w:sz w:val="22"/>
          <w:szCs w:val="22"/>
          <w:lang w:val="fr-FR"/>
        </w:rPr>
        <w:t>lever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les contraintes </w:t>
      </w:r>
      <w:r w:rsidR="004308D8" w:rsidRPr="00A24BF1">
        <w:rPr>
          <w:rFonts w:ascii="Arial" w:hAnsi="Arial" w:cs="Arial"/>
          <w:sz w:val="22"/>
          <w:szCs w:val="22"/>
          <w:lang w:val="fr-FR"/>
        </w:rPr>
        <w:t>juridiques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et administratives </w:t>
      </w:r>
      <w:r w:rsidR="00C02005" w:rsidRPr="00A24BF1">
        <w:rPr>
          <w:rFonts w:ascii="Arial" w:hAnsi="Arial" w:cs="Arial"/>
          <w:sz w:val="22"/>
          <w:szCs w:val="22"/>
          <w:lang w:val="fr-FR"/>
        </w:rPr>
        <w:t>connexes</w:t>
      </w:r>
      <w:r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4D3E160D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</w:p>
    <w:p w14:paraId="61E0CC95" w14:textId="08907DA2" w:rsidR="00661A1D" w:rsidRPr="00A24BF1" w:rsidRDefault="001E589D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Examiner et rationaliser les exigences en matière de diligence </w:t>
      </w:r>
      <w:r w:rsidR="005A12C3" w:rsidRPr="00A24BF1">
        <w:rPr>
          <w:rFonts w:ascii="Arial" w:hAnsi="Arial" w:cs="Arial"/>
          <w:sz w:val="22"/>
          <w:szCs w:val="22"/>
          <w:lang w:val="fr-FR"/>
        </w:rPr>
        <w:t>due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et de </w:t>
      </w:r>
      <w:proofErr w:type="gramStart"/>
      <w:r w:rsidRPr="00A24BF1">
        <w:rPr>
          <w:rFonts w:ascii="Arial" w:hAnsi="Arial" w:cs="Arial"/>
          <w:sz w:val="22"/>
          <w:szCs w:val="22"/>
          <w:lang w:val="fr-FR"/>
        </w:rPr>
        <w:t xml:space="preserve">conformité </w:t>
      </w:r>
      <w:r w:rsidR="000E7225" w:rsidRPr="00A24BF1">
        <w:rPr>
          <w:rFonts w:ascii="Arial" w:hAnsi="Arial" w:cs="Arial"/>
          <w:sz w:val="22"/>
          <w:szCs w:val="22"/>
          <w:lang w:val="fr-FR"/>
        </w:rPr>
        <w:t>imposées</w:t>
      </w:r>
      <w:proofErr w:type="gramEnd"/>
      <w:r w:rsidR="000E7225" w:rsidRPr="00A24BF1">
        <w:rPr>
          <w:rFonts w:ascii="Arial" w:hAnsi="Arial" w:cs="Arial"/>
          <w:sz w:val="22"/>
          <w:szCs w:val="22"/>
          <w:lang w:val="fr-FR"/>
        </w:rPr>
        <w:t xml:space="preserve"> aux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acteurs locaux tout en soutenant l'intégrité et la </w:t>
      </w:r>
      <w:r w:rsidR="006C7386" w:rsidRPr="00A24BF1">
        <w:rPr>
          <w:rFonts w:ascii="Arial" w:hAnsi="Arial" w:cs="Arial"/>
          <w:sz w:val="22"/>
          <w:szCs w:val="22"/>
          <w:lang w:val="fr-FR"/>
        </w:rPr>
        <w:t>redevabilité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par des mesures telles que des exigences simplifiées et communes en matière de </w:t>
      </w:r>
      <w:r w:rsidR="00335A6A" w:rsidRPr="00A24BF1">
        <w:rPr>
          <w:rFonts w:ascii="Arial" w:hAnsi="Arial" w:cs="Arial"/>
          <w:sz w:val="22"/>
          <w:szCs w:val="22"/>
          <w:lang w:val="fr-FR"/>
        </w:rPr>
        <w:t>compte</w:t>
      </w:r>
      <w:r w:rsidR="003B7621" w:rsidRPr="00A24BF1">
        <w:rPr>
          <w:rFonts w:ascii="Arial" w:hAnsi="Arial" w:cs="Arial"/>
          <w:sz w:val="22"/>
          <w:szCs w:val="22"/>
          <w:lang w:val="fr-FR"/>
        </w:rPr>
        <w:t>s</w:t>
      </w:r>
      <w:r w:rsidR="00335A6A" w:rsidRPr="00A24BF1">
        <w:rPr>
          <w:rFonts w:ascii="Arial" w:hAnsi="Arial" w:cs="Arial"/>
          <w:sz w:val="22"/>
          <w:szCs w:val="22"/>
          <w:lang w:val="fr-FR"/>
        </w:rPr>
        <w:t xml:space="preserve"> rendu</w:t>
      </w:r>
      <w:r w:rsidR="003B7621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, </w:t>
      </w:r>
      <w:r w:rsidR="000464A5" w:rsidRPr="00A24BF1">
        <w:rPr>
          <w:rFonts w:ascii="Arial" w:hAnsi="Arial" w:cs="Arial"/>
          <w:sz w:val="22"/>
          <w:szCs w:val="22"/>
          <w:lang w:val="fr-FR"/>
        </w:rPr>
        <w:t>des i</w:t>
      </w:r>
      <w:r w:rsidRPr="00A24BF1">
        <w:rPr>
          <w:rFonts w:ascii="Arial" w:hAnsi="Arial" w:cs="Arial"/>
          <w:sz w:val="22"/>
          <w:szCs w:val="22"/>
          <w:lang w:val="fr-FR"/>
        </w:rPr>
        <w:t>nvestissement</w:t>
      </w:r>
      <w:r w:rsidR="000464A5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dans </w:t>
      </w:r>
      <w:r w:rsidR="00335A6A" w:rsidRPr="00A24BF1">
        <w:rPr>
          <w:rFonts w:ascii="Arial" w:hAnsi="Arial" w:cs="Arial"/>
          <w:sz w:val="22"/>
          <w:szCs w:val="22"/>
          <w:lang w:val="fr-FR"/>
        </w:rPr>
        <w:t>les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capacités</w:t>
      </w:r>
      <w:r w:rsidR="00335A6A" w:rsidRPr="00A24BF1">
        <w:rPr>
          <w:rFonts w:ascii="Arial" w:hAnsi="Arial" w:cs="Arial"/>
          <w:sz w:val="22"/>
          <w:szCs w:val="22"/>
          <w:lang w:val="fr-FR"/>
        </w:rPr>
        <w:t xml:space="preserve"> des acteurs locaux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ou la collaboration </w:t>
      </w:r>
      <w:r w:rsidR="00B2071F" w:rsidRPr="00A24BF1">
        <w:rPr>
          <w:rFonts w:ascii="Arial" w:hAnsi="Arial" w:cs="Arial"/>
          <w:sz w:val="22"/>
          <w:szCs w:val="22"/>
          <w:lang w:val="fr-FR"/>
        </w:rPr>
        <w:t xml:space="preserve">aux fins de l’obtention </w:t>
      </w:r>
      <w:r w:rsidR="00E476CC" w:rsidRPr="00A24BF1">
        <w:rPr>
          <w:rFonts w:ascii="Arial" w:hAnsi="Arial" w:cs="Arial"/>
          <w:sz w:val="22"/>
          <w:szCs w:val="22"/>
          <w:lang w:val="fr-FR"/>
        </w:rPr>
        <w:t xml:space="preserve">et de la reconnaissance </w:t>
      </w:r>
      <w:r w:rsidR="00B2071F" w:rsidRPr="00A24BF1">
        <w:rPr>
          <w:rFonts w:ascii="Arial" w:hAnsi="Arial" w:cs="Arial"/>
          <w:sz w:val="22"/>
          <w:szCs w:val="22"/>
          <w:lang w:val="fr-FR"/>
        </w:rPr>
        <w:t xml:space="preserve">de la certification de la </w:t>
      </w:r>
      <w:r w:rsidR="00F9179B" w:rsidRPr="00A24BF1">
        <w:rPr>
          <w:rFonts w:ascii="Arial" w:hAnsi="Arial" w:cs="Arial"/>
          <w:sz w:val="22"/>
          <w:szCs w:val="22"/>
          <w:lang w:val="fr-FR"/>
        </w:rPr>
        <w:t>Fédération internationale</w:t>
      </w:r>
      <w:r w:rsidR="00661A1D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0815647F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37BD12FC" w14:textId="6296EB04" w:rsidR="00661A1D" w:rsidRPr="00A24BF1" w:rsidRDefault="005B2B1D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Accroître les investissements dans le renforcement des capacités des acteurs locaux en fonction de la demande et du contexte, en particulier dans les contextes </w:t>
      </w:r>
      <w:r w:rsidR="0044353C" w:rsidRPr="00A24BF1">
        <w:rPr>
          <w:rFonts w:ascii="Arial" w:hAnsi="Arial" w:cs="Arial"/>
          <w:sz w:val="22"/>
          <w:szCs w:val="22"/>
          <w:lang w:val="fr-FR"/>
        </w:rPr>
        <w:t>de fragilité, de conflit et de vulnérabilité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, y compris sous la forme </w:t>
      </w:r>
      <w:r w:rsidR="0044353C" w:rsidRPr="00A24BF1">
        <w:rPr>
          <w:rFonts w:ascii="Arial" w:hAnsi="Arial" w:cs="Arial"/>
          <w:sz w:val="22"/>
          <w:szCs w:val="22"/>
          <w:lang w:val="fr-FR"/>
        </w:rPr>
        <w:t>de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financement</w:t>
      </w:r>
      <w:r w:rsidR="0044353C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dédié</w:t>
      </w:r>
      <w:r w:rsidR="002C2361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>, pluriannuel</w:t>
      </w:r>
      <w:r w:rsidR="002C2361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et </w:t>
      </w:r>
      <w:r w:rsidR="002C2361" w:rsidRPr="00A24BF1">
        <w:rPr>
          <w:rFonts w:ascii="Arial" w:hAnsi="Arial" w:cs="Arial"/>
          <w:sz w:val="22"/>
          <w:szCs w:val="22"/>
          <w:lang w:val="fr-FR"/>
        </w:rPr>
        <w:t>non affectés</w:t>
      </w:r>
      <w:r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6B8E25E3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47505539" w14:textId="50AD637C" w:rsidR="00661A1D" w:rsidRPr="00A24BF1" w:rsidRDefault="007118DF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Accroître les investissements dans les fonds communs </w:t>
      </w:r>
      <w:r w:rsidR="0094564F" w:rsidRPr="00A24BF1">
        <w:rPr>
          <w:rFonts w:ascii="Arial" w:hAnsi="Arial" w:cs="Arial"/>
          <w:sz w:val="22"/>
          <w:szCs w:val="22"/>
          <w:lang w:val="fr-FR"/>
        </w:rPr>
        <w:t xml:space="preserve">du Mouvement </w:t>
      </w:r>
      <w:r w:rsidR="0094564F">
        <w:rPr>
          <w:rFonts w:ascii="Arial" w:hAnsi="Arial" w:cs="Arial"/>
          <w:sz w:val="22"/>
          <w:szCs w:val="22"/>
          <w:lang w:val="fr-FR"/>
        </w:rPr>
        <w:t>destinés au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développement des Sociétés nationales, en particulier le Fonds de renforcement des capacités (CBF) et l'Alliance pour l'investissement </w:t>
      </w:r>
      <w:r w:rsidR="009A3D65" w:rsidRPr="00A24BF1">
        <w:rPr>
          <w:rFonts w:ascii="Arial" w:hAnsi="Arial" w:cs="Arial"/>
          <w:sz w:val="22"/>
          <w:szCs w:val="22"/>
          <w:lang w:val="fr-FR"/>
        </w:rPr>
        <w:t>dans les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Sociétés nationales (NSIA).</w:t>
      </w:r>
    </w:p>
    <w:p w14:paraId="6FE24AF0" w14:textId="77777777" w:rsidR="00661A1D" w:rsidRPr="00A24BF1" w:rsidRDefault="00661A1D" w:rsidP="00661A1D">
      <w:pPr>
        <w:pStyle w:val="Indent1"/>
        <w:rPr>
          <w:rFonts w:ascii="Arial" w:hAnsi="Arial" w:cs="Arial"/>
          <w:sz w:val="22"/>
          <w:szCs w:val="22"/>
          <w:lang w:val="fr-FR"/>
        </w:rPr>
      </w:pPr>
    </w:p>
    <w:p w14:paraId="5761D438" w14:textId="5956928F" w:rsidR="00661A1D" w:rsidRPr="00A24BF1" w:rsidRDefault="00C85BF6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Prévoir</w:t>
      </w:r>
      <w:r w:rsidR="009F039C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925E01" w:rsidRPr="00A24BF1">
        <w:rPr>
          <w:rFonts w:ascii="Arial" w:hAnsi="Arial" w:cs="Arial"/>
          <w:sz w:val="22"/>
          <w:szCs w:val="22"/>
          <w:lang w:val="fr-FR"/>
        </w:rPr>
        <w:t xml:space="preserve">de couvrir </w:t>
      </w:r>
      <w:r w:rsidR="009F039C" w:rsidRPr="00A24BF1">
        <w:rPr>
          <w:rFonts w:ascii="Arial" w:hAnsi="Arial" w:cs="Arial"/>
          <w:sz w:val="22"/>
          <w:szCs w:val="22"/>
          <w:lang w:val="fr-FR"/>
        </w:rPr>
        <w:t>une part raisonnable des frais généraux</w:t>
      </w:r>
      <w:r w:rsidR="00AA32B9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775A53" w:rsidRPr="00A24BF1">
        <w:rPr>
          <w:rFonts w:ascii="Arial" w:hAnsi="Arial" w:cs="Arial"/>
          <w:sz w:val="22"/>
          <w:szCs w:val="22"/>
          <w:lang w:val="fr-FR"/>
        </w:rPr>
        <w:t xml:space="preserve">encourus par les acteurs locaux </w:t>
      </w:r>
      <w:r w:rsidR="00AA32B9" w:rsidRPr="00A24BF1">
        <w:rPr>
          <w:rFonts w:ascii="Arial" w:hAnsi="Arial" w:cs="Arial"/>
          <w:sz w:val="22"/>
          <w:szCs w:val="22"/>
          <w:lang w:val="fr-FR"/>
        </w:rPr>
        <w:t>dans tous les financements des projets/programmes</w:t>
      </w:r>
      <w:r w:rsidR="009F039C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5F174C12" w14:textId="77777777" w:rsidR="00661A1D" w:rsidRPr="00A24BF1" w:rsidRDefault="00661A1D" w:rsidP="00661A1D">
      <w:pPr>
        <w:pStyle w:val="Indent1"/>
        <w:ind w:left="0" w:firstLine="0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1BCE45AD" w14:textId="636FE129" w:rsidR="00661A1D" w:rsidRPr="00A24BF1" w:rsidRDefault="00636ECB" w:rsidP="00FD58AE">
      <w:pPr>
        <w:pStyle w:val="Indent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Évaluer [conjointement] si les cadres juridiques et politiques nationaux fournissent une base solide et favorable à l'accomplissement du rôle d'auxiliaire </w:t>
      </w:r>
      <w:r w:rsidR="009063F7" w:rsidRPr="00A24BF1">
        <w:rPr>
          <w:rFonts w:ascii="Arial" w:hAnsi="Arial" w:cs="Arial"/>
          <w:sz w:val="22"/>
          <w:szCs w:val="22"/>
          <w:lang w:val="fr-FR"/>
        </w:rPr>
        <w:t>de la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Société nationale et, si nécessaire, procéder à un examen législatif pour renforcer le rôle d'auxiliaire dans les instruments juridiques. En particulier, veiller à ce que [inclure les éléments suivants, le cas échéant] :</w:t>
      </w:r>
    </w:p>
    <w:p w14:paraId="5353D058" w14:textId="2561F74A" w:rsidR="00661A1D" w:rsidRPr="00A24BF1" w:rsidRDefault="000903FE" w:rsidP="00FD58AE">
      <w:pPr>
        <w:pStyle w:val="Indent1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lang w:val="fr-FR"/>
        </w:rPr>
      </w:pPr>
      <w:proofErr w:type="gramStart"/>
      <w:r w:rsidRPr="00A24BF1">
        <w:rPr>
          <w:rFonts w:ascii="Arial" w:hAnsi="Arial" w:cs="Arial"/>
          <w:sz w:val="22"/>
          <w:szCs w:val="22"/>
          <w:lang w:val="fr-FR"/>
        </w:rPr>
        <w:t>la</w:t>
      </w:r>
      <w:proofErr w:type="gramEnd"/>
      <w:r w:rsidRPr="00A24BF1">
        <w:rPr>
          <w:rFonts w:ascii="Arial" w:hAnsi="Arial" w:cs="Arial"/>
          <w:sz w:val="22"/>
          <w:szCs w:val="22"/>
          <w:lang w:val="fr-FR"/>
        </w:rPr>
        <w:t xml:space="preserve"> base juridique de la Société nationale </w:t>
      </w:r>
      <w:r w:rsidR="00A24BF1" w:rsidRPr="00A24BF1">
        <w:rPr>
          <w:rFonts w:ascii="Arial" w:hAnsi="Arial" w:cs="Arial"/>
          <w:sz w:val="22"/>
          <w:szCs w:val="22"/>
          <w:lang w:val="fr-FR"/>
        </w:rPr>
        <w:t>soit</w:t>
      </w:r>
      <w:r w:rsidR="00631943" w:rsidRPr="00A24BF1">
        <w:rPr>
          <w:rFonts w:ascii="Arial" w:hAnsi="Arial" w:cs="Arial"/>
          <w:sz w:val="22"/>
          <w:szCs w:val="22"/>
          <w:lang w:val="fr-FR"/>
        </w:rPr>
        <w:t xml:space="preserve"> a</w:t>
      </w:r>
      <w:r w:rsidR="00462C37" w:rsidRPr="00A24BF1">
        <w:rPr>
          <w:rFonts w:ascii="Arial" w:hAnsi="Arial" w:cs="Arial"/>
          <w:sz w:val="22"/>
          <w:szCs w:val="22"/>
          <w:lang w:val="fr-FR"/>
        </w:rPr>
        <w:t>ctualisée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et </w:t>
      </w:r>
      <w:r w:rsidR="00462C37" w:rsidRPr="00A24BF1">
        <w:rPr>
          <w:rFonts w:ascii="Arial" w:hAnsi="Arial" w:cs="Arial"/>
          <w:sz w:val="22"/>
          <w:szCs w:val="22"/>
          <w:lang w:val="fr-FR"/>
        </w:rPr>
        <w:t xml:space="preserve">lui </w:t>
      </w:r>
      <w:r w:rsidRPr="00A24BF1">
        <w:rPr>
          <w:rFonts w:ascii="Arial" w:hAnsi="Arial" w:cs="Arial"/>
          <w:sz w:val="22"/>
          <w:szCs w:val="22"/>
          <w:lang w:val="fr-FR"/>
        </w:rPr>
        <w:t>permet</w:t>
      </w:r>
      <w:r w:rsidR="00462C37" w:rsidRPr="00A24BF1">
        <w:rPr>
          <w:rFonts w:ascii="Arial" w:hAnsi="Arial" w:cs="Arial"/>
          <w:sz w:val="22"/>
          <w:szCs w:val="22"/>
          <w:lang w:val="fr-FR"/>
        </w:rPr>
        <w:t>te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de remplir son rôle d'auxiliaire des pouvoirs publics dans le domaine humanitaire. En particulier, veiller à ce que la base juridique de la Société nationale soit, au minimum, conforme aux normes établies dans les Statuts du Mouvement</w:t>
      </w:r>
      <w:r w:rsidR="00266FEA" w:rsidRPr="00A24BF1">
        <w:rPr>
          <w:rFonts w:ascii="Arial" w:hAnsi="Arial" w:cs="Arial"/>
          <w:sz w:val="22"/>
          <w:szCs w:val="22"/>
          <w:lang w:val="fr-FR"/>
        </w:rPr>
        <w:t> </w:t>
      </w:r>
      <w:r w:rsidR="00661A1D" w:rsidRPr="00A24BF1">
        <w:rPr>
          <w:rFonts w:ascii="Arial" w:hAnsi="Arial" w:cs="Arial"/>
          <w:sz w:val="22"/>
          <w:szCs w:val="22"/>
          <w:lang w:val="fr-FR"/>
        </w:rPr>
        <w:t xml:space="preserve">; </w:t>
      </w:r>
      <w:r w:rsidR="00266FEA" w:rsidRPr="00A24BF1">
        <w:rPr>
          <w:rFonts w:ascii="Arial" w:hAnsi="Arial" w:cs="Arial"/>
          <w:sz w:val="22"/>
          <w:szCs w:val="22"/>
          <w:lang w:val="fr-FR"/>
        </w:rPr>
        <w:t>et</w:t>
      </w:r>
    </w:p>
    <w:p w14:paraId="516C9948" w14:textId="77777777" w:rsidR="00661A1D" w:rsidRPr="00A24BF1" w:rsidRDefault="00661A1D" w:rsidP="00661A1D">
      <w:pPr>
        <w:pStyle w:val="Indent1"/>
        <w:ind w:left="108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4E414CC7" w14:textId="35D02D04" w:rsidR="00661A1D" w:rsidRPr="00A24BF1" w:rsidRDefault="00C725DC" w:rsidP="00FD58AE">
      <w:pPr>
        <w:pStyle w:val="Indent1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lang w:val="fr-FR"/>
        </w:rPr>
      </w:pPr>
      <w:proofErr w:type="gramStart"/>
      <w:r w:rsidRPr="00A24BF1">
        <w:rPr>
          <w:rFonts w:ascii="Arial" w:hAnsi="Arial" w:cs="Arial"/>
          <w:sz w:val="22"/>
          <w:szCs w:val="22"/>
          <w:lang w:val="fr-FR"/>
        </w:rPr>
        <w:t>les</w:t>
      </w:r>
      <w:proofErr w:type="gramEnd"/>
      <w:r w:rsidRPr="00A24BF1">
        <w:rPr>
          <w:rFonts w:ascii="Arial" w:hAnsi="Arial" w:cs="Arial"/>
          <w:sz w:val="22"/>
          <w:szCs w:val="22"/>
          <w:lang w:val="fr-FR"/>
        </w:rPr>
        <w:t xml:space="preserve"> lois, politiques et plans sectoriels dans les domaines </w:t>
      </w:r>
      <w:r w:rsidR="00657E10" w:rsidRPr="00A24BF1">
        <w:rPr>
          <w:rFonts w:ascii="Arial" w:hAnsi="Arial" w:cs="Arial"/>
          <w:sz w:val="22"/>
          <w:szCs w:val="22"/>
          <w:lang w:val="fr-FR"/>
        </w:rPr>
        <w:t>d’activité de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la Société nationale, tels que la gestion des risques de catastrophe, la santé, l'éducation, la migration, la sécurité alimentaire et l'adaptation au</w:t>
      </w:r>
      <w:r w:rsidR="00657E10" w:rsidRPr="00A24BF1">
        <w:rPr>
          <w:rFonts w:ascii="Arial" w:hAnsi="Arial" w:cs="Arial"/>
          <w:sz w:val="22"/>
          <w:szCs w:val="22"/>
          <w:lang w:val="fr-FR"/>
        </w:rPr>
        <w:t>x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changement</w:t>
      </w:r>
      <w:r w:rsidR="00657E10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climatique</w:t>
      </w:r>
      <w:r w:rsidR="00657E10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>, reconnaissent le rôle d'auxiliaire, incluent la Société nationale dans les organes de décision et de coordination pertinents, et facilitent l</w:t>
      </w:r>
      <w:r w:rsidR="001D6038" w:rsidRPr="00A24BF1">
        <w:rPr>
          <w:rFonts w:ascii="Arial" w:hAnsi="Arial" w:cs="Arial"/>
          <w:sz w:val="22"/>
          <w:szCs w:val="22"/>
          <w:lang w:val="fr-FR"/>
        </w:rPr>
        <w:t xml:space="preserve">’action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humanitaire </w:t>
      </w:r>
      <w:r w:rsidR="001D6038" w:rsidRPr="00A24BF1">
        <w:rPr>
          <w:rFonts w:ascii="Arial" w:hAnsi="Arial" w:cs="Arial"/>
          <w:sz w:val="22"/>
          <w:szCs w:val="22"/>
          <w:lang w:val="fr-FR"/>
        </w:rPr>
        <w:t>que mène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la Société nationale</w:t>
      </w:r>
      <w:r w:rsidR="001D6038" w:rsidRPr="00A24BF1">
        <w:rPr>
          <w:rFonts w:ascii="Arial" w:hAnsi="Arial" w:cs="Arial"/>
          <w:sz w:val="22"/>
          <w:szCs w:val="22"/>
          <w:lang w:val="fr-FR"/>
        </w:rPr>
        <w:t xml:space="preserve"> conformément à </w:t>
      </w:r>
      <w:r w:rsidRPr="00A24BF1">
        <w:rPr>
          <w:rFonts w:ascii="Arial" w:hAnsi="Arial" w:cs="Arial"/>
          <w:sz w:val="22"/>
          <w:szCs w:val="22"/>
          <w:lang w:val="fr-FR"/>
        </w:rPr>
        <w:t>son rôle d'auxiliaire.</w:t>
      </w:r>
    </w:p>
    <w:p w14:paraId="3A2B3E2B" w14:textId="77777777" w:rsidR="00661A1D" w:rsidRPr="00A24BF1" w:rsidRDefault="00661A1D" w:rsidP="00661A1D">
      <w:pPr>
        <w:pStyle w:val="Indent1"/>
        <w:ind w:left="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27FCC33A" w14:textId="7C3B97EE" w:rsidR="00661A1D" w:rsidRPr="00A24BF1" w:rsidRDefault="00965484" w:rsidP="00FD58AE">
      <w:pPr>
        <w:pStyle w:val="Indent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Utiliser la nouvelle loi type sur la Croix-Rouge/le Croissant-Rouge </w:t>
      </w:r>
      <w:r w:rsidR="008745BF" w:rsidRPr="00A24BF1">
        <w:rPr>
          <w:rFonts w:ascii="Arial" w:hAnsi="Arial" w:cs="Arial"/>
          <w:sz w:val="22"/>
          <w:szCs w:val="22"/>
          <w:lang w:val="fr-FR"/>
        </w:rPr>
        <w:t>comme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outil utile pour examiner et renforcer la base juridique des Sociétés nationales</w:t>
      </w:r>
      <w:r w:rsidR="008745BF" w:rsidRPr="00A24BF1">
        <w:rPr>
          <w:rFonts w:ascii="Arial" w:hAnsi="Arial" w:cs="Arial"/>
          <w:sz w:val="22"/>
          <w:szCs w:val="22"/>
          <w:lang w:val="fr-FR"/>
        </w:rPr>
        <w:t> ;</w:t>
      </w:r>
    </w:p>
    <w:p w14:paraId="26DA461D" w14:textId="77777777" w:rsidR="00661A1D" w:rsidRPr="00A24BF1" w:rsidRDefault="00661A1D" w:rsidP="00661A1D">
      <w:pPr>
        <w:pStyle w:val="Indent1"/>
        <w:ind w:left="720" w:firstLine="0"/>
        <w:jc w:val="left"/>
        <w:rPr>
          <w:rFonts w:ascii="Arial" w:hAnsi="Arial" w:cs="Arial"/>
          <w:sz w:val="22"/>
          <w:szCs w:val="22"/>
          <w:lang w:val="fr-FR"/>
        </w:rPr>
      </w:pPr>
    </w:p>
    <w:p w14:paraId="1EC0894C" w14:textId="178A8E1B" w:rsidR="00661A1D" w:rsidRPr="00A24BF1" w:rsidRDefault="00355676" w:rsidP="00FD58AE">
      <w:pPr>
        <w:pStyle w:val="Indent1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Encourager les autorités compétentes à engager des discussions avec la Société nationale afin de conclure des accords préalables aux catastrophes et/ou des protocoles d'accord qui permettent à la Société nationale de remplir efficacement son rôle d'auxiliaire, de se préparer et de réagir aux catastrophes et aux situations d'urgence de toutes sortes</w:t>
      </w:r>
      <w:r w:rsidR="00661A1D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5B5FFC61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0C61F1EE" w14:textId="1041CDBF" w:rsidR="00661A1D" w:rsidRPr="00A24BF1" w:rsidRDefault="00A25203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Initier</w:t>
      </w:r>
      <w:r w:rsidR="00C70C40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Pr="00A24BF1">
        <w:rPr>
          <w:rFonts w:ascii="Arial" w:hAnsi="Arial" w:cs="Arial"/>
          <w:sz w:val="22"/>
          <w:szCs w:val="22"/>
          <w:lang w:val="fr-FR"/>
        </w:rPr>
        <w:t>et</w:t>
      </w:r>
      <w:r w:rsidR="00C70C40" w:rsidRPr="00A24BF1">
        <w:rPr>
          <w:rFonts w:ascii="Arial" w:hAnsi="Arial" w:cs="Arial"/>
          <w:sz w:val="22"/>
          <w:szCs w:val="22"/>
          <w:lang w:val="fr-FR"/>
        </w:rPr>
        <w:t>/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ou soutenir </w:t>
      </w:r>
      <w:r w:rsidR="00FC1CBD" w:rsidRPr="00A24BF1">
        <w:rPr>
          <w:rFonts w:ascii="Arial" w:hAnsi="Arial" w:cs="Arial"/>
          <w:sz w:val="22"/>
          <w:szCs w:val="22"/>
          <w:lang w:val="fr-FR"/>
        </w:rPr>
        <w:t>des occasions de dialogue, de plaidoyer commun et d’échange de connaissances entre les autorités locales et les acteurs locaux, tout particulièrement les sections locales des Sociétés nationales</w:t>
      </w:r>
      <w:r w:rsidRPr="00A24BF1">
        <w:rPr>
          <w:rFonts w:ascii="Arial" w:hAnsi="Arial" w:cs="Arial"/>
          <w:sz w:val="22"/>
          <w:szCs w:val="22"/>
          <w:lang w:val="fr-FR"/>
        </w:rPr>
        <w:t>,</w:t>
      </w:r>
      <w:r w:rsidR="00160F10" w:rsidRPr="00A24BF1">
        <w:rPr>
          <w:rFonts w:ascii="Arial" w:hAnsi="Arial" w:cs="Arial"/>
          <w:sz w:val="22"/>
          <w:szCs w:val="22"/>
          <w:lang w:val="fr-FR"/>
        </w:rPr>
        <w:t xml:space="preserve"> et y participer,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160F10" w:rsidRPr="00A24BF1">
        <w:rPr>
          <w:rFonts w:ascii="Arial" w:hAnsi="Arial" w:cs="Arial"/>
          <w:sz w:val="22"/>
          <w:szCs w:val="22"/>
          <w:lang w:val="fr-FR"/>
        </w:rPr>
        <w:t>afin de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faire avancer le programme de localisation, </w:t>
      </w:r>
      <w:r w:rsidR="00DC2D77" w:rsidRPr="00A24BF1">
        <w:rPr>
          <w:rFonts w:ascii="Arial" w:hAnsi="Arial" w:cs="Arial"/>
          <w:sz w:val="22"/>
          <w:szCs w:val="22"/>
          <w:lang w:val="fr-FR"/>
        </w:rPr>
        <w:t>en ne se limitant pas aux interventions humanitaires mais en incluant le renforcement de la gestion locale des risques de catastrophe, l’action climatique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, la sécurité sanitaire et d'autres </w:t>
      </w:r>
      <w:r w:rsidR="00900F0A" w:rsidRPr="00A24BF1">
        <w:rPr>
          <w:rFonts w:ascii="Arial" w:hAnsi="Arial" w:cs="Arial"/>
          <w:sz w:val="22"/>
          <w:szCs w:val="22"/>
          <w:lang w:val="fr-FR"/>
        </w:rPr>
        <w:t>domaines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prioritaires.</w:t>
      </w:r>
    </w:p>
    <w:p w14:paraId="248ADF06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7E9ABF6B" w14:textId="260AF01E" w:rsidR="00661A1D" w:rsidRPr="00A24BF1" w:rsidRDefault="00900F0A" w:rsidP="00FD58AE">
      <w:pPr>
        <w:pStyle w:val="Indent1"/>
        <w:numPr>
          <w:ilvl w:val="0"/>
          <w:numId w:val="2"/>
        </w:numPr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Soutenir le processus d'évaluation prévu par la Fédération internationale visant à mesurer</w:t>
      </w:r>
      <w:r w:rsidR="006B5B09" w:rsidRPr="00A24BF1">
        <w:rPr>
          <w:lang w:val="fr-FR"/>
        </w:rPr>
        <w:t xml:space="preserve"> </w:t>
      </w:r>
      <w:r w:rsidR="006B5B09" w:rsidRPr="00A24BF1">
        <w:rPr>
          <w:rFonts w:ascii="Arial" w:hAnsi="Arial" w:cs="Arial"/>
          <w:sz w:val="22"/>
          <w:szCs w:val="22"/>
          <w:lang w:val="fr-FR"/>
        </w:rPr>
        <w:t>progrès accomplis par le réseau dans la mise en place d’une action durable dirigée au niveau local</w:t>
      </w:r>
      <w:r w:rsidRPr="00A24BF1">
        <w:rPr>
          <w:rFonts w:ascii="Arial" w:hAnsi="Arial" w:cs="Arial"/>
          <w:sz w:val="22"/>
          <w:szCs w:val="22"/>
          <w:lang w:val="fr-FR"/>
        </w:rPr>
        <w:t>, en mettant particulièrement l'accent sur le</w:t>
      </w:r>
      <w:r w:rsidR="000B1453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comportement</w:t>
      </w:r>
      <w:r w:rsidR="000B1453" w:rsidRPr="00A24BF1">
        <w:rPr>
          <w:rFonts w:ascii="Arial" w:hAnsi="Arial" w:cs="Arial"/>
          <w:sz w:val="22"/>
          <w:szCs w:val="22"/>
          <w:lang w:val="fr-FR"/>
        </w:rPr>
        <w:t>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, la motivation et les </w:t>
      </w:r>
      <w:r w:rsidR="00F549D8" w:rsidRPr="00A24BF1">
        <w:rPr>
          <w:rFonts w:ascii="Arial" w:hAnsi="Arial" w:cs="Arial"/>
          <w:sz w:val="22"/>
          <w:szCs w:val="22"/>
          <w:lang w:val="fr-FR"/>
        </w:rPr>
        <w:t>possibilités</w:t>
      </w:r>
      <w:r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11AE6EB3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i/>
          <w:iCs/>
          <w:sz w:val="22"/>
          <w:szCs w:val="22"/>
          <w:lang w:val="fr-FR"/>
        </w:rPr>
      </w:pPr>
    </w:p>
    <w:p w14:paraId="6BD98232" w14:textId="2713D95A" w:rsidR="00661A1D" w:rsidRPr="00A24BF1" w:rsidRDefault="00E976D6" w:rsidP="00661A1D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b/>
          <w:bCs/>
          <w:sz w:val="22"/>
          <w:szCs w:val="22"/>
          <w:lang w:val="fr-FR"/>
        </w:rPr>
        <w:t>Liste d’indicateurs potentiels</w:t>
      </w:r>
      <w:r w:rsidR="00DD2955" w:rsidRPr="00A24BF1">
        <w:rPr>
          <w:rFonts w:ascii="Arial" w:hAnsi="Arial" w:cs="Arial"/>
          <w:b/>
          <w:bCs/>
          <w:sz w:val="22"/>
          <w:szCs w:val="22"/>
          <w:lang w:val="fr-FR"/>
        </w:rPr>
        <w:t xml:space="preserve"> pour mesurer les progrès</w:t>
      </w:r>
    </w:p>
    <w:p w14:paraId="714825D7" w14:textId="1EAC509A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Cadre, stratégie, </w:t>
      </w:r>
      <w:r w:rsidR="006E7DBD" w:rsidRPr="00A24BF1">
        <w:rPr>
          <w:rFonts w:ascii="Arial" w:hAnsi="Arial" w:cs="Arial"/>
          <w:sz w:val="22"/>
          <w:szCs w:val="22"/>
          <w:lang w:val="fr-FR"/>
        </w:rPr>
        <w:t>exposé de position</w:t>
      </w:r>
      <w:r w:rsidRPr="00A24BF1">
        <w:rPr>
          <w:rFonts w:ascii="Arial" w:hAnsi="Arial" w:cs="Arial"/>
          <w:sz w:val="22"/>
          <w:szCs w:val="22"/>
          <w:lang w:val="fr-FR"/>
        </w:rPr>
        <w:t>, principes directeurs, plan d'action</w:t>
      </w:r>
      <w:r w:rsidR="000E3682" w:rsidRPr="00A24BF1">
        <w:rPr>
          <w:rFonts w:ascii="Arial" w:hAnsi="Arial" w:cs="Arial"/>
          <w:sz w:val="22"/>
          <w:szCs w:val="22"/>
          <w:lang w:val="fr-FR"/>
        </w:rPr>
        <w:t xml:space="preserve"> et autres sur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la localisation ou l'action </w:t>
      </w:r>
      <w:r w:rsidR="0034684E" w:rsidRPr="00A24BF1">
        <w:rPr>
          <w:rFonts w:ascii="Arial" w:hAnsi="Arial" w:cs="Arial"/>
          <w:sz w:val="22"/>
          <w:szCs w:val="22"/>
          <w:lang w:val="fr-FR"/>
        </w:rPr>
        <w:t>dirigée au niveau local</w:t>
      </w:r>
      <w:r w:rsidR="006B1E6B"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77E09D9E" w14:textId="29EC66B4" w:rsidR="00A47720" w:rsidRPr="00A24BF1" w:rsidRDefault="001A1341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Énoncé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de mission, lignes directrices </w:t>
      </w:r>
      <w:r w:rsidR="007D1BE2" w:rsidRPr="00A24BF1">
        <w:rPr>
          <w:rFonts w:ascii="Arial" w:hAnsi="Arial" w:cs="Arial"/>
          <w:sz w:val="22"/>
          <w:szCs w:val="22"/>
          <w:lang w:val="fr-FR"/>
        </w:rPr>
        <w:t>sur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le recrutement et l'orientation du personnel, politiques</w:t>
      </w:r>
      <w:r w:rsidR="001D4BB5" w:rsidRPr="00A24BF1">
        <w:rPr>
          <w:rFonts w:ascii="Arial" w:hAnsi="Arial" w:cs="Arial"/>
          <w:sz w:val="22"/>
          <w:szCs w:val="22"/>
          <w:lang w:val="fr-FR"/>
        </w:rPr>
        <w:t xml:space="preserve"> en matière de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partenariat, </w:t>
      </w:r>
      <w:r w:rsidR="00B510C9" w:rsidRPr="00A24BF1">
        <w:rPr>
          <w:rFonts w:ascii="Arial" w:hAnsi="Arial" w:cs="Arial"/>
          <w:sz w:val="22"/>
          <w:szCs w:val="22"/>
          <w:lang w:val="fr-FR"/>
        </w:rPr>
        <w:t>description de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programme, mécanismes de transparence et de retour d'information et protocoles </w:t>
      </w:r>
      <w:r w:rsidR="007D1BE2" w:rsidRPr="00A24BF1">
        <w:rPr>
          <w:rFonts w:ascii="Arial" w:hAnsi="Arial" w:cs="Arial"/>
          <w:sz w:val="22"/>
          <w:szCs w:val="22"/>
          <w:lang w:val="fr-FR"/>
        </w:rPr>
        <w:t>pour l’établissement de</w:t>
      </w:r>
      <w:r w:rsidR="00625C96" w:rsidRPr="00A24BF1">
        <w:rPr>
          <w:rFonts w:ascii="Arial" w:hAnsi="Arial" w:cs="Arial"/>
          <w:sz w:val="22"/>
          <w:szCs w:val="22"/>
          <w:lang w:val="fr-FR"/>
        </w:rPr>
        <w:t xml:space="preserve"> comptes rendus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qui soutiennent</w:t>
      </w:r>
      <w:r w:rsidR="00D65C7C" w:rsidRPr="00A24BF1">
        <w:rPr>
          <w:rFonts w:ascii="Arial" w:hAnsi="Arial" w:cs="Arial"/>
          <w:sz w:val="22"/>
          <w:szCs w:val="22"/>
          <w:lang w:val="fr-FR"/>
        </w:rPr>
        <w:t xml:space="preserve"> les objectifs en matière de localisation et d'action dirigée au niveau local, y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contribuent ou</w:t>
      </w:r>
      <w:r w:rsidR="00D65C7C" w:rsidRPr="00A24BF1">
        <w:rPr>
          <w:rFonts w:ascii="Arial" w:hAnsi="Arial" w:cs="Arial"/>
          <w:sz w:val="22"/>
          <w:szCs w:val="22"/>
          <w:lang w:val="fr-FR"/>
        </w:rPr>
        <w:t xml:space="preserve"> y</w:t>
      </w:r>
      <w:r w:rsidR="00A47720" w:rsidRPr="00A24BF1">
        <w:rPr>
          <w:rFonts w:ascii="Arial" w:hAnsi="Arial" w:cs="Arial"/>
          <w:sz w:val="22"/>
          <w:szCs w:val="22"/>
          <w:lang w:val="fr-FR"/>
        </w:rPr>
        <w:t xml:space="preserve"> sont liés.</w:t>
      </w:r>
    </w:p>
    <w:p w14:paraId="7F0BA19E" w14:textId="3D4E57F1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Nombre de partenariats stratégiques ou à long terme financés </w:t>
      </w:r>
      <w:r w:rsidR="00AC4ED7" w:rsidRPr="00A24BF1">
        <w:rPr>
          <w:rFonts w:ascii="Arial" w:hAnsi="Arial" w:cs="Arial"/>
          <w:sz w:val="22"/>
          <w:szCs w:val="22"/>
          <w:lang w:val="fr-FR"/>
        </w:rPr>
        <w:t>conclus avec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des acteurs locaux</w:t>
      </w:r>
    </w:p>
    <w:p w14:paraId="7C4427E6" w14:textId="2E781131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Nombre de dialogues, de consultations, d'examens, de réunions de planification</w:t>
      </w:r>
      <w:r w:rsidR="00C406C3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916899" w:rsidRPr="00A24BF1">
        <w:rPr>
          <w:rFonts w:ascii="Arial" w:hAnsi="Arial" w:cs="Arial"/>
          <w:sz w:val="22"/>
          <w:szCs w:val="22"/>
          <w:lang w:val="fr-FR"/>
        </w:rPr>
        <w:t>et autres organisés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F01FD2" w:rsidRPr="00A24BF1">
        <w:rPr>
          <w:rFonts w:ascii="Arial" w:hAnsi="Arial" w:cs="Arial"/>
          <w:sz w:val="22"/>
          <w:szCs w:val="22"/>
          <w:lang w:val="fr-FR"/>
        </w:rPr>
        <w:t xml:space="preserve">aux fins de partenariats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avec </w:t>
      </w:r>
      <w:r w:rsidR="00916899" w:rsidRPr="00A24BF1">
        <w:rPr>
          <w:rFonts w:ascii="Arial" w:hAnsi="Arial" w:cs="Arial"/>
          <w:sz w:val="22"/>
          <w:szCs w:val="22"/>
          <w:lang w:val="fr-FR"/>
        </w:rPr>
        <w:t>de</w:t>
      </w:r>
      <w:r w:rsidRPr="00A24BF1">
        <w:rPr>
          <w:rFonts w:ascii="Arial" w:hAnsi="Arial" w:cs="Arial"/>
          <w:sz w:val="22"/>
          <w:szCs w:val="22"/>
          <w:lang w:val="fr-FR"/>
        </w:rPr>
        <w:t>s acteurs locaux</w:t>
      </w:r>
    </w:p>
    <w:p w14:paraId="5DBBAC59" w14:textId="79ADD28A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Pourcentage de financement</w:t>
      </w:r>
      <w:r w:rsidR="00F01FD2" w:rsidRPr="00A24BF1">
        <w:rPr>
          <w:rFonts w:ascii="Arial" w:hAnsi="Arial" w:cs="Arial"/>
          <w:sz w:val="22"/>
          <w:szCs w:val="22"/>
          <w:lang w:val="fr-FR"/>
        </w:rPr>
        <w:t>s alloués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aux acteurs locaux et pour l'action locale.</w:t>
      </w:r>
    </w:p>
    <w:p w14:paraId="03CFADAC" w14:textId="74F8DC8B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Pourcentage de financement</w:t>
      </w:r>
      <w:r w:rsidR="006B1E6B" w:rsidRPr="00A24BF1">
        <w:rPr>
          <w:rFonts w:ascii="Arial" w:hAnsi="Arial" w:cs="Arial"/>
          <w:sz w:val="22"/>
          <w:szCs w:val="22"/>
          <w:lang w:val="fr-FR"/>
        </w:rPr>
        <w:t xml:space="preserve">s alloués </w:t>
      </w:r>
      <w:r w:rsidR="0053170C" w:rsidRPr="00A24BF1">
        <w:rPr>
          <w:rFonts w:ascii="Arial" w:hAnsi="Arial" w:cs="Arial"/>
          <w:sz w:val="22"/>
          <w:szCs w:val="22"/>
          <w:lang w:val="fr-FR"/>
        </w:rPr>
        <w:t>aux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frais généraux/</w:t>
      </w:r>
      <w:r w:rsidR="003E2D46" w:rsidRPr="00A24BF1">
        <w:rPr>
          <w:rFonts w:ascii="Arial" w:hAnsi="Arial" w:cs="Arial"/>
          <w:sz w:val="22"/>
          <w:szCs w:val="22"/>
          <w:lang w:val="fr-FR"/>
        </w:rPr>
        <w:t>coûts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indirects des acteurs locaux.</w:t>
      </w:r>
    </w:p>
    <w:p w14:paraId="51466312" w14:textId="1F3EB61B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Quantité et qualité des investissements pour le renforcement des capacités à long terme des acteurs locaux.</w:t>
      </w:r>
    </w:p>
    <w:p w14:paraId="14537D3D" w14:textId="0168602F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Nombre, nature et résultat des collaborations </w:t>
      </w:r>
      <w:r w:rsidR="00983DE7" w:rsidRPr="00A24BF1">
        <w:rPr>
          <w:rFonts w:ascii="Arial" w:hAnsi="Arial" w:cs="Arial"/>
          <w:sz w:val="22"/>
          <w:szCs w:val="22"/>
          <w:lang w:val="fr-FR"/>
        </w:rPr>
        <w:t>pour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l'intégration de l'approche de partage des risques dans les opérations humanitaires</w:t>
      </w:r>
      <w:r w:rsidR="00B101D5">
        <w:rPr>
          <w:rFonts w:ascii="Arial" w:hAnsi="Arial" w:cs="Arial"/>
          <w:sz w:val="22"/>
          <w:szCs w:val="22"/>
          <w:lang w:val="fr-FR"/>
        </w:rPr>
        <w:t>.</w:t>
      </w:r>
    </w:p>
    <w:p w14:paraId="61F83C83" w14:textId="32F29621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>Nombre d'acteurs locaux représentés dans les comités de pilotage des programmes/projets</w:t>
      </w:r>
      <w:r w:rsidR="00F94098" w:rsidRPr="00A24BF1">
        <w:rPr>
          <w:rFonts w:ascii="Arial" w:hAnsi="Arial" w:cs="Arial"/>
          <w:sz w:val="22"/>
          <w:szCs w:val="22"/>
          <w:lang w:val="fr-FR"/>
        </w:rPr>
        <w:t>,</w:t>
      </w:r>
      <w:r w:rsidR="0008304B" w:rsidRPr="00A24BF1">
        <w:rPr>
          <w:rFonts w:ascii="Arial" w:hAnsi="Arial" w:cs="Arial"/>
          <w:sz w:val="22"/>
          <w:szCs w:val="22"/>
          <w:lang w:val="fr-FR"/>
        </w:rPr>
        <w:t xml:space="preserve"> </w:t>
      </w:r>
      <w:r w:rsidR="00F94098" w:rsidRPr="00A24BF1">
        <w:rPr>
          <w:rFonts w:ascii="Arial" w:hAnsi="Arial" w:cs="Arial"/>
          <w:sz w:val="22"/>
          <w:szCs w:val="22"/>
          <w:lang w:val="fr-FR"/>
        </w:rPr>
        <w:t>dont la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participation à la planification et à la prise de décision</w:t>
      </w:r>
      <w:r w:rsidR="00F94098" w:rsidRPr="00A24BF1">
        <w:rPr>
          <w:rFonts w:ascii="Arial" w:hAnsi="Arial" w:cs="Arial"/>
          <w:sz w:val="22"/>
          <w:szCs w:val="22"/>
          <w:lang w:val="fr-FR"/>
        </w:rPr>
        <w:t xml:space="preserve"> est avérée.</w:t>
      </w:r>
    </w:p>
    <w:p w14:paraId="0B366601" w14:textId="348F00A2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Rédaction, adoption, révision ou mise à jour </w:t>
      </w:r>
      <w:r w:rsidR="006B2129" w:rsidRPr="00A24BF1">
        <w:rPr>
          <w:rFonts w:ascii="Arial" w:hAnsi="Arial" w:cs="Arial"/>
          <w:sz w:val="22"/>
          <w:szCs w:val="22"/>
          <w:lang w:val="fr-FR"/>
        </w:rPr>
        <w:t xml:space="preserve">par le gouvernement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de la base juridique de la Société nationale (loi, décret ou ordonnance) conformément à la </w:t>
      </w:r>
      <w:r w:rsidR="00402445" w:rsidRPr="00A24BF1">
        <w:rPr>
          <w:rFonts w:ascii="Arial" w:hAnsi="Arial" w:cs="Arial"/>
          <w:sz w:val="22"/>
          <w:szCs w:val="22"/>
          <w:lang w:val="fr-FR"/>
        </w:rPr>
        <w:t>L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oi type </w:t>
      </w:r>
      <w:r w:rsidR="00402445" w:rsidRPr="00A24BF1">
        <w:rPr>
          <w:rFonts w:ascii="Arial" w:hAnsi="Arial" w:cs="Arial"/>
          <w:sz w:val="22"/>
          <w:szCs w:val="22"/>
          <w:lang w:val="fr-FR"/>
        </w:rPr>
        <w:t>sur la Croix-Rouge/le Croissant-Rouge</w:t>
      </w:r>
      <w:r w:rsidR="006B2129" w:rsidRPr="00A24BF1">
        <w:rPr>
          <w:rFonts w:ascii="Arial" w:hAnsi="Arial" w:cs="Arial"/>
          <w:sz w:val="22"/>
          <w:szCs w:val="22"/>
          <w:lang w:val="fr-FR"/>
        </w:rPr>
        <w:t>,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 en consultation avec la Société nationale.</w:t>
      </w:r>
    </w:p>
    <w:p w14:paraId="40F3E3DE" w14:textId="4F574BE5" w:rsidR="00A47720" w:rsidRPr="00A24BF1" w:rsidRDefault="00A47720" w:rsidP="00A47720">
      <w:pPr>
        <w:pStyle w:val="Indent1"/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Rédaction, adoption, révision ou mise à jour des lois, politiques et/ou plans sectoriels pertinents par le gouvernement, en consultation avec la Société nationale, afin de renforcer le rôle d'auxiliaire et de faciliter </w:t>
      </w:r>
      <w:r w:rsidR="00F9310E" w:rsidRPr="00A24BF1">
        <w:rPr>
          <w:rFonts w:ascii="Arial" w:hAnsi="Arial" w:cs="Arial"/>
          <w:sz w:val="22"/>
          <w:szCs w:val="22"/>
          <w:lang w:val="fr-FR"/>
        </w:rPr>
        <w:t>l’action humanitaire que mène la Société nationale conformément à son rôle d'auxiliaire</w:t>
      </w:r>
      <w:r w:rsidRPr="00A24BF1">
        <w:rPr>
          <w:rFonts w:ascii="Arial" w:hAnsi="Arial" w:cs="Arial"/>
          <w:sz w:val="22"/>
          <w:szCs w:val="22"/>
          <w:lang w:val="fr-FR"/>
        </w:rPr>
        <w:t>.</w:t>
      </w:r>
    </w:p>
    <w:p w14:paraId="107B6426" w14:textId="4F9269F5" w:rsidR="00661A1D" w:rsidRPr="00A24BF1" w:rsidRDefault="00A47720" w:rsidP="00A47720">
      <w:pPr>
        <w:pStyle w:val="Indent1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fr-FR"/>
        </w:rPr>
      </w:pPr>
      <w:r w:rsidRPr="00A24BF1">
        <w:rPr>
          <w:rFonts w:ascii="Arial" w:hAnsi="Arial" w:cs="Arial"/>
          <w:sz w:val="22"/>
          <w:szCs w:val="22"/>
          <w:lang w:val="fr-FR"/>
        </w:rPr>
        <w:t xml:space="preserve">Nombre d'accords </w:t>
      </w:r>
      <w:r w:rsidR="00F64EE6" w:rsidRPr="00A24BF1">
        <w:rPr>
          <w:rFonts w:ascii="Arial" w:hAnsi="Arial" w:cs="Arial"/>
          <w:sz w:val="22"/>
          <w:szCs w:val="22"/>
          <w:lang w:val="fr-FR"/>
        </w:rPr>
        <w:t xml:space="preserve">préalables aux catastrophes </w:t>
      </w:r>
      <w:r w:rsidRPr="00A24BF1">
        <w:rPr>
          <w:rFonts w:ascii="Arial" w:hAnsi="Arial" w:cs="Arial"/>
          <w:sz w:val="22"/>
          <w:szCs w:val="22"/>
          <w:lang w:val="fr-FR"/>
        </w:rPr>
        <w:t xml:space="preserve">et/ou de protocoles d'accord conclus entre un ministère/une agence gouvernementale et la Société nationale en vue de renforcer le rôle d'auxiliaire. </w:t>
      </w:r>
    </w:p>
    <w:p w14:paraId="65E84C70" w14:textId="77777777" w:rsidR="00A47720" w:rsidRPr="00A24BF1" w:rsidRDefault="00A47720" w:rsidP="00661A1D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8BDB41C" w14:textId="214D7882" w:rsidR="00661A1D" w:rsidRPr="00A24BF1" w:rsidRDefault="00A47720" w:rsidP="00661A1D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  <w:r w:rsidRPr="00A24BF1">
        <w:rPr>
          <w:rFonts w:ascii="Arial" w:hAnsi="Arial" w:cs="Arial"/>
          <w:b/>
          <w:bCs/>
          <w:sz w:val="22"/>
          <w:szCs w:val="22"/>
          <w:lang w:val="fr-FR"/>
        </w:rPr>
        <w:t>Incidences sur le plan des ressources</w:t>
      </w:r>
    </w:p>
    <w:p w14:paraId="50B379C0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052A3F4" w14:textId="562D7709" w:rsidR="00661A1D" w:rsidRPr="00A24BF1" w:rsidRDefault="00EA37ED" w:rsidP="00661A1D">
      <w:pPr>
        <w:pStyle w:val="Indent1"/>
        <w:ind w:left="0" w:firstLine="0"/>
        <w:jc w:val="left"/>
        <w:rPr>
          <w:rFonts w:ascii="Arial" w:hAnsi="Arial" w:cs="Arial"/>
          <w:iCs/>
          <w:sz w:val="22"/>
          <w:szCs w:val="22"/>
          <w:lang w:val="fr-FR"/>
        </w:rPr>
      </w:pPr>
      <w:r w:rsidRPr="00A24BF1">
        <w:rPr>
          <w:rFonts w:ascii="Arial" w:hAnsi="Arial" w:cs="Arial"/>
          <w:bCs/>
          <w:iCs/>
          <w:sz w:val="22"/>
          <w:szCs w:val="22"/>
          <w:lang w:val="fr-FR"/>
        </w:rPr>
        <w:t>Les États et/ou les Sociétés nationales détermineront les ressources requises pour honorer cet engagement en fonction des objectifs et des mesures qu’ils auront choisis</w:t>
      </w:r>
      <w:r w:rsidRPr="00A24BF1">
        <w:rPr>
          <w:rFonts w:ascii="Arial" w:hAnsi="Arial" w:cs="Arial"/>
          <w:iCs/>
          <w:sz w:val="22"/>
          <w:szCs w:val="22"/>
          <w:lang w:val="fr-FR"/>
        </w:rPr>
        <w:t xml:space="preserve"> de prendre dans leur contexte spécifique</w:t>
      </w:r>
      <w:r w:rsidR="00661A1D" w:rsidRPr="00A24BF1">
        <w:rPr>
          <w:rFonts w:ascii="Arial" w:hAnsi="Arial" w:cs="Arial"/>
          <w:iCs/>
          <w:sz w:val="22"/>
          <w:szCs w:val="22"/>
          <w:lang w:val="fr-FR"/>
        </w:rPr>
        <w:t>.</w:t>
      </w:r>
    </w:p>
    <w:p w14:paraId="4D687C04" w14:textId="77777777" w:rsidR="00661A1D" w:rsidRPr="00A24BF1" w:rsidRDefault="00661A1D" w:rsidP="00661A1D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</w:p>
    <w:p w14:paraId="3C6A7E05" w14:textId="77777777" w:rsidR="00A64C79" w:rsidRPr="00A24BF1" w:rsidRDefault="00A64C79" w:rsidP="00661A1D">
      <w:pPr>
        <w:pStyle w:val="Indent1"/>
        <w:ind w:left="0" w:firstLine="0"/>
        <w:jc w:val="left"/>
        <w:rPr>
          <w:rFonts w:cs="Arial"/>
          <w:i/>
          <w:color w:val="2F5496"/>
          <w:szCs w:val="22"/>
          <w:lang w:val="fr-FR"/>
        </w:rPr>
      </w:pPr>
    </w:p>
    <w:sectPr w:rsidR="00A64C79" w:rsidRPr="00A24BF1" w:rsidSect="00661A1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713B" w14:textId="77777777" w:rsidR="00E3333B" w:rsidRDefault="00E3333B">
      <w:r>
        <w:separator/>
      </w:r>
    </w:p>
  </w:endnote>
  <w:endnote w:type="continuationSeparator" w:id="0">
    <w:p w14:paraId="63F4BFB8" w14:textId="77777777" w:rsidR="00E3333B" w:rsidRDefault="00E3333B">
      <w:r>
        <w:continuationSeparator/>
      </w:r>
    </w:p>
  </w:endnote>
  <w:endnote w:type="continuationNotice" w:id="1">
    <w:p w14:paraId="2B9FDDF9" w14:textId="77777777" w:rsidR="00E3333B" w:rsidRDefault="00E33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25BD" w14:textId="77777777" w:rsidR="009C675B" w:rsidRDefault="009C6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3A73D" w14:textId="77777777" w:rsidR="009C675B" w:rsidRDefault="009C675B">
    <w:pPr>
      <w:pStyle w:val="Footer"/>
      <w:ind w:right="360"/>
    </w:pPr>
  </w:p>
  <w:p w14:paraId="4423B85C" w14:textId="77777777" w:rsidR="009C675B" w:rsidRDefault="009C67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0977" w14:textId="77777777" w:rsidR="009C675B" w:rsidRDefault="009C675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4E4F" w14:textId="77777777" w:rsidR="00FD58AE" w:rsidRDefault="00FD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41D8" w14:textId="77777777" w:rsidR="00E3333B" w:rsidRDefault="00E3333B">
      <w:r>
        <w:separator/>
      </w:r>
    </w:p>
  </w:footnote>
  <w:footnote w:type="continuationSeparator" w:id="0">
    <w:p w14:paraId="4BD419DE" w14:textId="77777777" w:rsidR="00E3333B" w:rsidRDefault="00E3333B">
      <w:r>
        <w:continuationSeparator/>
      </w:r>
    </w:p>
  </w:footnote>
  <w:footnote w:type="continuationNotice" w:id="1">
    <w:p w14:paraId="1BE0A21C" w14:textId="77777777" w:rsidR="00E3333B" w:rsidRDefault="00E3333B"/>
  </w:footnote>
  <w:footnote w:id="2">
    <w:p w14:paraId="7A5EFDD2" w14:textId="0D22500F" w:rsidR="00661A1D" w:rsidRPr="007A5C8F" w:rsidRDefault="00661A1D" w:rsidP="00661A1D">
      <w:pPr>
        <w:pStyle w:val="FootnoteText"/>
        <w:rPr>
          <w:rFonts w:ascii="Arial" w:hAnsi="Arial" w:cs="Arial"/>
          <w:lang w:val="fr-FR"/>
        </w:rPr>
      </w:pPr>
      <w:r>
        <w:rPr>
          <w:rStyle w:val="FootnoteReference"/>
        </w:rPr>
        <w:footnoteRef/>
      </w:r>
      <w:r w:rsidRPr="005B435E">
        <w:rPr>
          <w:lang w:val="fr-FR"/>
        </w:rPr>
        <w:t xml:space="preserve"> </w:t>
      </w:r>
      <w:r w:rsidR="00D543F6" w:rsidRPr="005B435E">
        <w:rPr>
          <w:lang w:val="fr-FR"/>
        </w:rPr>
        <w:t>Le</w:t>
      </w:r>
      <w:r w:rsidRPr="005B435E">
        <w:rPr>
          <w:lang w:val="fr-FR"/>
        </w:rPr>
        <w:t xml:space="preserve"> Grand</w:t>
      </w:r>
      <w:r w:rsidR="00D543F6" w:rsidRPr="005B435E">
        <w:rPr>
          <w:lang w:val="fr-FR"/>
        </w:rPr>
        <w:t xml:space="preserve"> compromis est un ensemble d’engagements pris</w:t>
      </w:r>
      <w:r w:rsidR="007F1F3E" w:rsidRPr="005B435E">
        <w:rPr>
          <w:lang w:val="fr-FR"/>
        </w:rPr>
        <w:t xml:space="preserve"> en 2016</w:t>
      </w:r>
      <w:r w:rsidR="00D543F6" w:rsidRPr="005B435E">
        <w:rPr>
          <w:lang w:val="fr-FR"/>
        </w:rPr>
        <w:t xml:space="preserve"> par un </w:t>
      </w:r>
      <w:r w:rsidR="008E57D0" w:rsidRPr="005B435E">
        <w:rPr>
          <w:lang w:val="fr-FR"/>
        </w:rPr>
        <w:t xml:space="preserve">groupe de </w:t>
      </w:r>
      <w:r w:rsidR="00684DAE" w:rsidRPr="005B435E">
        <w:rPr>
          <w:lang w:val="fr-FR"/>
        </w:rPr>
        <w:t>grands donateurs et d’</w:t>
      </w:r>
      <w:r w:rsidR="007F1F3E" w:rsidRPr="005B435E">
        <w:rPr>
          <w:lang w:val="fr-FR"/>
        </w:rPr>
        <w:t>organismes humanitaires</w:t>
      </w:r>
      <w:r w:rsidR="00D30C89" w:rsidRPr="005B435E">
        <w:rPr>
          <w:lang w:val="fr-FR"/>
        </w:rPr>
        <w:t xml:space="preserve"> pour </w:t>
      </w:r>
      <w:r w:rsidR="00E623D6">
        <w:rPr>
          <w:lang w:val="fr-FR"/>
        </w:rPr>
        <w:t>« </w:t>
      </w:r>
      <w:r w:rsidR="00C12B69" w:rsidRPr="005B435E">
        <w:rPr>
          <w:lang w:val="fr-FR"/>
        </w:rPr>
        <w:t xml:space="preserve">rendre l’aide </w:t>
      </w:r>
      <w:r w:rsidR="005B435E" w:rsidRPr="005B435E">
        <w:rPr>
          <w:lang w:val="fr-FR"/>
        </w:rPr>
        <w:t xml:space="preserve">aussi locale que possible et aussi internationale que </w:t>
      </w:r>
      <w:r w:rsidR="001B45FA" w:rsidRPr="005B435E">
        <w:rPr>
          <w:lang w:val="fr-FR"/>
        </w:rPr>
        <w:t>nécessaire</w:t>
      </w:r>
      <w:r w:rsidR="00E623D6">
        <w:rPr>
          <w:lang w:val="fr-FR"/>
        </w:rPr>
        <w:t> »</w:t>
      </w:r>
      <w:r w:rsidR="005B435E" w:rsidRPr="005B435E">
        <w:rPr>
          <w:lang w:val="fr-FR"/>
        </w:rPr>
        <w:t xml:space="preserve">. </w:t>
      </w:r>
      <w:r w:rsidR="005B435E" w:rsidRPr="00522429">
        <w:rPr>
          <w:lang w:val="fr-FR"/>
        </w:rPr>
        <w:t>Comme</w:t>
      </w:r>
      <w:r w:rsidR="00522429">
        <w:rPr>
          <w:lang w:val="fr-FR"/>
        </w:rPr>
        <w:t xml:space="preserve"> convenu </w:t>
      </w:r>
      <w:r w:rsidR="00BD227E">
        <w:rPr>
          <w:lang w:val="fr-FR"/>
        </w:rPr>
        <w:t>par les signataires du Grand compromis,</w:t>
      </w:r>
      <w:r w:rsidR="005B435E" w:rsidRPr="00522429">
        <w:rPr>
          <w:lang w:val="fr-FR"/>
        </w:rPr>
        <w:t xml:space="preserve"> </w:t>
      </w:r>
      <w:r w:rsidR="00BD227E">
        <w:rPr>
          <w:lang w:val="fr-FR"/>
        </w:rPr>
        <w:t>le terme</w:t>
      </w:r>
      <w:r w:rsidR="00522429" w:rsidRPr="00522429">
        <w:rPr>
          <w:lang w:val="fr-FR"/>
        </w:rPr>
        <w:t xml:space="preserve"> </w:t>
      </w:r>
      <w:r w:rsidR="00BD227E">
        <w:rPr>
          <w:lang w:val="fr-FR"/>
        </w:rPr>
        <w:t>« </w:t>
      </w:r>
      <w:r w:rsidR="00522429" w:rsidRPr="00522429">
        <w:rPr>
          <w:lang w:val="fr-FR"/>
        </w:rPr>
        <w:t>acteur</w:t>
      </w:r>
      <w:r w:rsidR="001B45FA">
        <w:rPr>
          <w:lang w:val="fr-FR"/>
        </w:rPr>
        <w:t>s</w:t>
      </w:r>
      <w:r w:rsidR="00522429" w:rsidRPr="00522429">
        <w:rPr>
          <w:lang w:val="fr-FR"/>
        </w:rPr>
        <w:t xml:space="preserve"> loca</w:t>
      </w:r>
      <w:r w:rsidR="001B45FA">
        <w:rPr>
          <w:lang w:val="fr-FR"/>
        </w:rPr>
        <w:t xml:space="preserve">ux </w:t>
      </w:r>
      <w:r w:rsidR="00BD227E">
        <w:rPr>
          <w:lang w:val="fr-FR"/>
        </w:rPr>
        <w:t>et nationa</w:t>
      </w:r>
      <w:r w:rsidR="001B45FA">
        <w:rPr>
          <w:lang w:val="fr-FR"/>
        </w:rPr>
        <w:t>ux </w:t>
      </w:r>
      <w:r w:rsidR="00522429" w:rsidRPr="00522429">
        <w:rPr>
          <w:lang w:val="fr-FR"/>
        </w:rPr>
        <w:t xml:space="preserve">» </w:t>
      </w:r>
      <w:r w:rsidR="00C9158E">
        <w:rPr>
          <w:lang w:val="fr-FR"/>
        </w:rPr>
        <w:t xml:space="preserve">est défini comme suit : </w:t>
      </w:r>
      <w:r w:rsidR="008B1AFC">
        <w:rPr>
          <w:lang w:val="fr-FR"/>
        </w:rPr>
        <w:t xml:space="preserve">1) </w:t>
      </w:r>
      <w:r w:rsidR="00522429" w:rsidRPr="00522429">
        <w:rPr>
          <w:lang w:val="fr-FR"/>
        </w:rPr>
        <w:t>acteurs étatiques et non étatiques locaux et nationaux</w:t>
      </w:r>
      <w:r w:rsidR="008B1AFC">
        <w:rPr>
          <w:lang w:val="fr-FR"/>
        </w:rPr>
        <w:t xml:space="preserve"> </w:t>
      </w:r>
      <w:r w:rsidR="00606965">
        <w:rPr>
          <w:lang w:val="fr-FR"/>
        </w:rPr>
        <w:t>–</w:t>
      </w:r>
      <w:r w:rsidR="008B1AFC">
        <w:rPr>
          <w:lang w:val="fr-FR"/>
        </w:rPr>
        <w:t xml:space="preserve"> </w:t>
      </w:r>
      <w:r w:rsidR="00FD3BF4">
        <w:rPr>
          <w:lang w:val="fr-FR"/>
        </w:rPr>
        <w:t>organisations</w:t>
      </w:r>
      <w:r w:rsidR="00606965">
        <w:rPr>
          <w:lang w:val="fr-FR"/>
        </w:rPr>
        <w:t xml:space="preserve"> </w:t>
      </w:r>
      <w:r w:rsidR="00680FD9" w:rsidRPr="00680FD9">
        <w:rPr>
          <w:lang w:val="fr-FR"/>
        </w:rPr>
        <w:t xml:space="preserve">qui entreprennent une action humanitaire </w:t>
      </w:r>
      <w:r w:rsidR="00606965">
        <w:rPr>
          <w:lang w:val="fr-FR"/>
        </w:rPr>
        <w:t xml:space="preserve">dont le siège et les activités sont basés </w:t>
      </w:r>
      <w:r w:rsidR="003C6D7C">
        <w:rPr>
          <w:lang w:val="fr-FR"/>
        </w:rPr>
        <w:t>dans leur propre pays</w:t>
      </w:r>
      <w:r w:rsidR="00BE3F60">
        <w:rPr>
          <w:lang w:val="fr-FR"/>
        </w:rPr>
        <w:t xml:space="preserve"> (pays récipiendaire de l’aide)</w:t>
      </w:r>
      <w:r w:rsidR="00EA72BF">
        <w:rPr>
          <w:lang w:val="fr-FR"/>
        </w:rPr>
        <w:t xml:space="preserve"> et </w:t>
      </w:r>
      <w:r w:rsidR="00680FD9">
        <w:rPr>
          <w:lang w:val="fr-FR"/>
        </w:rPr>
        <w:t xml:space="preserve">qui </w:t>
      </w:r>
      <w:r w:rsidR="00EA72BF">
        <w:rPr>
          <w:lang w:val="fr-FR"/>
        </w:rPr>
        <w:t xml:space="preserve">ne sont pas affiliées à une organisation </w:t>
      </w:r>
      <w:r w:rsidR="00BE3F60">
        <w:rPr>
          <w:lang w:val="fr-FR"/>
        </w:rPr>
        <w:t xml:space="preserve">non gouvernementale internationale ; 2) </w:t>
      </w:r>
      <w:r w:rsidR="005C596E">
        <w:rPr>
          <w:lang w:val="fr-FR"/>
        </w:rPr>
        <w:t>acteurs étatiques nationaux et sous-nationaux</w:t>
      </w:r>
      <w:r w:rsidRPr="005C596E">
        <w:rPr>
          <w:lang w:val="fr-FR"/>
        </w:rPr>
        <w:t xml:space="preserve"> – </w:t>
      </w:r>
      <w:r w:rsidR="00A72DD5">
        <w:rPr>
          <w:lang w:val="fr-FR"/>
        </w:rPr>
        <w:t xml:space="preserve">autorités étatiques du pays </w:t>
      </w:r>
      <w:r w:rsidR="00FF6C0A">
        <w:rPr>
          <w:lang w:val="fr-FR"/>
        </w:rPr>
        <w:t xml:space="preserve">touché </w:t>
      </w:r>
      <w:r w:rsidR="00A72DD5">
        <w:rPr>
          <w:lang w:val="fr-FR"/>
        </w:rPr>
        <w:t xml:space="preserve">récipiendaire </w:t>
      </w:r>
      <w:r w:rsidR="00E91B0C">
        <w:rPr>
          <w:lang w:val="fr-FR"/>
        </w:rPr>
        <w:t xml:space="preserve">qui </w:t>
      </w:r>
      <w:r w:rsidR="00431911">
        <w:rPr>
          <w:lang w:val="fr-FR"/>
        </w:rPr>
        <w:t>entreprennent une action humanitaire tant au niveau local que national</w:t>
      </w:r>
      <w:r w:rsidR="007A5C8F">
        <w:rPr>
          <w:lang w:val="fr-FR"/>
        </w:rPr>
        <w:t xml:space="preserve">. </w:t>
      </w:r>
      <w:r w:rsidR="007A5C8F" w:rsidRPr="007A5C8F">
        <w:rPr>
          <w:lang w:val="fr-FR"/>
        </w:rPr>
        <w:t>Voi</w:t>
      </w:r>
      <w:r w:rsidR="007A5C8F">
        <w:rPr>
          <w:lang w:val="fr-FR"/>
        </w:rPr>
        <w:t>r en anglais :</w:t>
      </w:r>
      <w:r w:rsidR="00A72DD5" w:rsidRPr="007A5C8F">
        <w:rPr>
          <w:lang w:val="fr-FR"/>
        </w:rPr>
        <w:t xml:space="preserve"> </w:t>
      </w:r>
      <w:hyperlink r:id="rId1" w:history="1">
        <w:r w:rsidRPr="007A5C8F">
          <w:rPr>
            <w:rStyle w:val="Hyperlink"/>
            <w:lang w:val="fr-FR"/>
          </w:rPr>
          <w:t>https://gblocalisation.ifrc.org/wp-content/uploads/2018/06/categories_for_tracking_direct_as_possible_funding_to_local_and_national_actors_003.pdf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E648" w14:textId="77777777" w:rsidR="009C675B" w:rsidRDefault="009C675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4003F" w14:textId="77777777" w:rsidR="009C675B" w:rsidRDefault="009C675B" w:rsidP="009C675B">
    <w:pPr>
      <w:pStyle w:val="Header"/>
      <w:ind w:right="360"/>
    </w:pPr>
  </w:p>
  <w:p w14:paraId="703A2B2E" w14:textId="77777777" w:rsidR="009C675B" w:rsidRDefault="009C67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6706" w14:textId="77777777" w:rsidR="009C675B" w:rsidRDefault="009C675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A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2FBBD" w14:textId="77777777" w:rsidR="009C675B" w:rsidRDefault="009C675B" w:rsidP="009C675B">
    <w:pPr>
      <w:pStyle w:val="Header"/>
      <w:ind w:right="360"/>
    </w:pPr>
  </w:p>
  <w:p w14:paraId="60007916" w14:textId="77777777" w:rsidR="009C675B" w:rsidRDefault="009C67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7EC"/>
    <w:multiLevelType w:val="hybridMultilevel"/>
    <w:tmpl w:val="513CEE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5788"/>
    <w:multiLevelType w:val="multilevel"/>
    <w:tmpl w:val="A3D806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74B7AEB"/>
    <w:multiLevelType w:val="hybridMultilevel"/>
    <w:tmpl w:val="B99E9968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D1581"/>
    <w:multiLevelType w:val="hybridMultilevel"/>
    <w:tmpl w:val="578AB2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07610">
    <w:abstractNumId w:val="1"/>
  </w:num>
  <w:num w:numId="2" w16cid:durableId="1863467519">
    <w:abstractNumId w:val="0"/>
  </w:num>
  <w:num w:numId="3" w16cid:durableId="244998254">
    <w:abstractNumId w:val="3"/>
  </w:num>
  <w:num w:numId="4" w16cid:durableId="180488016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9"/>
    <w:rsid w:val="000159DB"/>
    <w:rsid w:val="00024F68"/>
    <w:rsid w:val="00032708"/>
    <w:rsid w:val="00042071"/>
    <w:rsid w:val="000464A5"/>
    <w:rsid w:val="000715B1"/>
    <w:rsid w:val="0008304B"/>
    <w:rsid w:val="000903FE"/>
    <w:rsid w:val="000933FB"/>
    <w:rsid w:val="000A0AC6"/>
    <w:rsid w:val="000A6AE1"/>
    <w:rsid w:val="000B1453"/>
    <w:rsid w:val="000B570F"/>
    <w:rsid w:val="000C6B49"/>
    <w:rsid w:val="000E3205"/>
    <w:rsid w:val="000E3682"/>
    <w:rsid w:val="000E7225"/>
    <w:rsid w:val="001054E0"/>
    <w:rsid w:val="00120AF5"/>
    <w:rsid w:val="0014607D"/>
    <w:rsid w:val="00160F10"/>
    <w:rsid w:val="0016433A"/>
    <w:rsid w:val="00171276"/>
    <w:rsid w:val="0017245A"/>
    <w:rsid w:val="001819BB"/>
    <w:rsid w:val="00186CDE"/>
    <w:rsid w:val="001908E8"/>
    <w:rsid w:val="00191D19"/>
    <w:rsid w:val="00197980"/>
    <w:rsid w:val="001A1341"/>
    <w:rsid w:val="001A3F2C"/>
    <w:rsid w:val="001B0237"/>
    <w:rsid w:val="001B45FA"/>
    <w:rsid w:val="001C18D6"/>
    <w:rsid w:val="001C650B"/>
    <w:rsid w:val="001D4BB5"/>
    <w:rsid w:val="001D6038"/>
    <w:rsid w:val="001E589D"/>
    <w:rsid w:val="001E5E01"/>
    <w:rsid w:val="00240F0B"/>
    <w:rsid w:val="00261331"/>
    <w:rsid w:val="002613E5"/>
    <w:rsid w:val="0026425E"/>
    <w:rsid w:val="0026579E"/>
    <w:rsid w:val="00266FEA"/>
    <w:rsid w:val="0028205D"/>
    <w:rsid w:val="00283931"/>
    <w:rsid w:val="002A3D45"/>
    <w:rsid w:val="002C2361"/>
    <w:rsid w:val="002F063A"/>
    <w:rsid w:val="002F178A"/>
    <w:rsid w:val="00303B7C"/>
    <w:rsid w:val="00313B2C"/>
    <w:rsid w:val="00316DFA"/>
    <w:rsid w:val="00317EB1"/>
    <w:rsid w:val="00320EDB"/>
    <w:rsid w:val="00335A6A"/>
    <w:rsid w:val="00337965"/>
    <w:rsid w:val="003434D3"/>
    <w:rsid w:val="00345872"/>
    <w:rsid w:val="0034684E"/>
    <w:rsid w:val="00352426"/>
    <w:rsid w:val="00355676"/>
    <w:rsid w:val="00363904"/>
    <w:rsid w:val="00385638"/>
    <w:rsid w:val="003A1C81"/>
    <w:rsid w:val="003B342C"/>
    <w:rsid w:val="003B6C0A"/>
    <w:rsid w:val="003B7621"/>
    <w:rsid w:val="003C6D7C"/>
    <w:rsid w:val="003C789A"/>
    <w:rsid w:val="003D070B"/>
    <w:rsid w:val="003E2D46"/>
    <w:rsid w:val="003E583E"/>
    <w:rsid w:val="003E7EEE"/>
    <w:rsid w:val="00402445"/>
    <w:rsid w:val="0040778B"/>
    <w:rsid w:val="004308D8"/>
    <w:rsid w:val="00431911"/>
    <w:rsid w:val="004345C3"/>
    <w:rsid w:val="0044353C"/>
    <w:rsid w:val="00452E47"/>
    <w:rsid w:val="0045377C"/>
    <w:rsid w:val="004569CA"/>
    <w:rsid w:val="00462C37"/>
    <w:rsid w:val="00466D9B"/>
    <w:rsid w:val="004730E1"/>
    <w:rsid w:val="004865A4"/>
    <w:rsid w:val="0049429A"/>
    <w:rsid w:val="004A0C45"/>
    <w:rsid w:val="004C26D6"/>
    <w:rsid w:val="0051604E"/>
    <w:rsid w:val="00517750"/>
    <w:rsid w:val="00522429"/>
    <w:rsid w:val="00522F83"/>
    <w:rsid w:val="00526C42"/>
    <w:rsid w:val="00527B62"/>
    <w:rsid w:val="0053170C"/>
    <w:rsid w:val="0054030C"/>
    <w:rsid w:val="00547A29"/>
    <w:rsid w:val="00550EED"/>
    <w:rsid w:val="005510BE"/>
    <w:rsid w:val="00556AFD"/>
    <w:rsid w:val="00566F3B"/>
    <w:rsid w:val="00582511"/>
    <w:rsid w:val="00587DD0"/>
    <w:rsid w:val="005A12C3"/>
    <w:rsid w:val="005A46EB"/>
    <w:rsid w:val="005B2B1D"/>
    <w:rsid w:val="005B435E"/>
    <w:rsid w:val="005C596E"/>
    <w:rsid w:val="005E77C3"/>
    <w:rsid w:val="00604E5E"/>
    <w:rsid w:val="00606965"/>
    <w:rsid w:val="00606DDF"/>
    <w:rsid w:val="0061262A"/>
    <w:rsid w:val="00623E54"/>
    <w:rsid w:val="00625C96"/>
    <w:rsid w:val="00627A57"/>
    <w:rsid w:val="00631943"/>
    <w:rsid w:val="00636ECB"/>
    <w:rsid w:val="00657E10"/>
    <w:rsid w:val="00661A1D"/>
    <w:rsid w:val="00662594"/>
    <w:rsid w:val="00664EAD"/>
    <w:rsid w:val="006734DD"/>
    <w:rsid w:val="00673B46"/>
    <w:rsid w:val="00676FE6"/>
    <w:rsid w:val="00680FD9"/>
    <w:rsid w:val="00684DAE"/>
    <w:rsid w:val="0068601D"/>
    <w:rsid w:val="006927FC"/>
    <w:rsid w:val="006928CE"/>
    <w:rsid w:val="006A649C"/>
    <w:rsid w:val="006A7C80"/>
    <w:rsid w:val="006B1E6B"/>
    <w:rsid w:val="006B2129"/>
    <w:rsid w:val="006B5B09"/>
    <w:rsid w:val="006C6ACE"/>
    <w:rsid w:val="006C7386"/>
    <w:rsid w:val="006D3D87"/>
    <w:rsid w:val="006D5A1B"/>
    <w:rsid w:val="006E7DBD"/>
    <w:rsid w:val="007118DF"/>
    <w:rsid w:val="00716AFE"/>
    <w:rsid w:val="00763165"/>
    <w:rsid w:val="0076336F"/>
    <w:rsid w:val="00766A1F"/>
    <w:rsid w:val="00775A53"/>
    <w:rsid w:val="0078454C"/>
    <w:rsid w:val="00793E7C"/>
    <w:rsid w:val="007947DA"/>
    <w:rsid w:val="00795EDC"/>
    <w:rsid w:val="007A3AB2"/>
    <w:rsid w:val="007A57D3"/>
    <w:rsid w:val="007A5C8F"/>
    <w:rsid w:val="007A7E3B"/>
    <w:rsid w:val="007B3380"/>
    <w:rsid w:val="007D1BE2"/>
    <w:rsid w:val="007D3305"/>
    <w:rsid w:val="007F1F3E"/>
    <w:rsid w:val="007F385F"/>
    <w:rsid w:val="00805064"/>
    <w:rsid w:val="008102A1"/>
    <w:rsid w:val="0081525C"/>
    <w:rsid w:val="00816849"/>
    <w:rsid w:val="00825A79"/>
    <w:rsid w:val="0083027D"/>
    <w:rsid w:val="00837007"/>
    <w:rsid w:val="00850666"/>
    <w:rsid w:val="008574A9"/>
    <w:rsid w:val="00871B2C"/>
    <w:rsid w:val="008745BF"/>
    <w:rsid w:val="0087788E"/>
    <w:rsid w:val="008A4D34"/>
    <w:rsid w:val="008A62AE"/>
    <w:rsid w:val="008B1AFC"/>
    <w:rsid w:val="008B4F17"/>
    <w:rsid w:val="008B72A3"/>
    <w:rsid w:val="008C3B67"/>
    <w:rsid w:val="008D0C43"/>
    <w:rsid w:val="008D7A6F"/>
    <w:rsid w:val="008E57D0"/>
    <w:rsid w:val="008E5896"/>
    <w:rsid w:val="008F32D9"/>
    <w:rsid w:val="008F65C3"/>
    <w:rsid w:val="00900F0A"/>
    <w:rsid w:val="009063F7"/>
    <w:rsid w:val="0091148E"/>
    <w:rsid w:val="00916899"/>
    <w:rsid w:val="00917265"/>
    <w:rsid w:val="00925E01"/>
    <w:rsid w:val="00926266"/>
    <w:rsid w:val="00927BCD"/>
    <w:rsid w:val="00936BC8"/>
    <w:rsid w:val="0094564F"/>
    <w:rsid w:val="00951046"/>
    <w:rsid w:val="00962145"/>
    <w:rsid w:val="00965484"/>
    <w:rsid w:val="0097492E"/>
    <w:rsid w:val="00980B9C"/>
    <w:rsid w:val="00983DE7"/>
    <w:rsid w:val="009912C5"/>
    <w:rsid w:val="009945D1"/>
    <w:rsid w:val="009A2261"/>
    <w:rsid w:val="009A3D65"/>
    <w:rsid w:val="009A7948"/>
    <w:rsid w:val="009C5517"/>
    <w:rsid w:val="009C675B"/>
    <w:rsid w:val="009F039C"/>
    <w:rsid w:val="00A14566"/>
    <w:rsid w:val="00A16CA4"/>
    <w:rsid w:val="00A24BF1"/>
    <w:rsid w:val="00A25203"/>
    <w:rsid w:val="00A32F19"/>
    <w:rsid w:val="00A35DE9"/>
    <w:rsid w:val="00A47720"/>
    <w:rsid w:val="00A52877"/>
    <w:rsid w:val="00A61258"/>
    <w:rsid w:val="00A626C3"/>
    <w:rsid w:val="00A64C79"/>
    <w:rsid w:val="00A72DD5"/>
    <w:rsid w:val="00AA32B9"/>
    <w:rsid w:val="00AC4ED7"/>
    <w:rsid w:val="00AE1CCE"/>
    <w:rsid w:val="00AF3C3E"/>
    <w:rsid w:val="00B00B52"/>
    <w:rsid w:val="00B06B53"/>
    <w:rsid w:val="00B101D5"/>
    <w:rsid w:val="00B2071F"/>
    <w:rsid w:val="00B312DC"/>
    <w:rsid w:val="00B3350A"/>
    <w:rsid w:val="00B510C9"/>
    <w:rsid w:val="00B533D9"/>
    <w:rsid w:val="00B552E9"/>
    <w:rsid w:val="00B63EAD"/>
    <w:rsid w:val="00B64E2F"/>
    <w:rsid w:val="00B704DB"/>
    <w:rsid w:val="00B7106A"/>
    <w:rsid w:val="00B76689"/>
    <w:rsid w:val="00B768AD"/>
    <w:rsid w:val="00B94B1E"/>
    <w:rsid w:val="00BA4C9D"/>
    <w:rsid w:val="00BB6738"/>
    <w:rsid w:val="00BC21B9"/>
    <w:rsid w:val="00BC31A0"/>
    <w:rsid w:val="00BC6351"/>
    <w:rsid w:val="00BD227E"/>
    <w:rsid w:val="00BD4F44"/>
    <w:rsid w:val="00BD6C3D"/>
    <w:rsid w:val="00BD7CBA"/>
    <w:rsid w:val="00BE3F60"/>
    <w:rsid w:val="00BF28FF"/>
    <w:rsid w:val="00BF5F8E"/>
    <w:rsid w:val="00C01283"/>
    <w:rsid w:val="00C02005"/>
    <w:rsid w:val="00C12B69"/>
    <w:rsid w:val="00C406C3"/>
    <w:rsid w:val="00C40E90"/>
    <w:rsid w:val="00C552C1"/>
    <w:rsid w:val="00C5553B"/>
    <w:rsid w:val="00C70C40"/>
    <w:rsid w:val="00C725DC"/>
    <w:rsid w:val="00C85BF6"/>
    <w:rsid w:val="00C86E4B"/>
    <w:rsid w:val="00C9158E"/>
    <w:rsid w:val="00CA01F8"/>
    <w:rsid w:val="00CC7934"/>
    <w:rsid w:val="00D01888"/>
    <w:rsid w:val="00D06B9B"/>
    <w:rsid w:val="00D14769"/>
    <w:rsid w:val="00D30C89"/>
    <w:rsid w:val="00D47926"/>
    <w:rsid w:val="00D51317"/>
    <w:rsid w:val="00D543F6"/>
    <w:rsid w:val="00D64A62"/>
    <w:rsid w:val="00D65C7C"/>
    <w:rsid w:val="00D674DC"/>
    <w:rsid w:val="00D731B6"/>
    <w:rsid w:val="00D87898"/>
    <w:rsid w:val="00DA748B"/>
    <w:rsid w:val="00DB3B7D"/>
    <w:rsid w:val="00DC2D77"/>
    <w:rsid w:val="00DC4736"/>
    <w:rsid w:val="00DD2955"/>
    <w:rsid w:val="00DE55F4"/>
    <w:rsid w:val="00E21047"/>
    <w:rsid w:val="00E22A4E"/>
    <w:rsid w:val="00E3333B"/>
    <w:rsid w:val="00E36C28"/>
    <w:rsid w:val="00E414F9"/>
    <w:rsid w:val="00E476CC"/>
    <w:rsid w:val="00E50C98"/>
    <w:rsid w:val="00E56688"/>
    <w:rsid w:val="00E623D6"/>
    <w:rsid w:val="00E65DA0"/>
    <w:rsid w:val="00E7493F"/>
    <w:rsid w:val="00E76E2E"/>
    <w:rsid w:val="00E91B0C"/>
    <w:rsid w:val="00E93774"/>
    <w:rsid w:val="00E976D6"/>
    <w:rsid w:val="00EA37ED"/>
    <w:rsid w:val="00EA4B2B"/>
    <w:rsid w:val="00EA54CB"/>
    <w:rsid w:val="00EA6AC7"/>
    <w:rsid w:val="00EA6EE8"/>
    <w:rsid w:val="00EA72BF"/>
    <w:rsid w:val="00EC3ACD"/>
    <w:rsid w:val="00ED3722"/>
    <w:rsid w:val="00EF6B03"/>
    <w:rsid w:val="00F01FD2"/>
    <w:rsid w:val="00F05B3F"/>
    <w:rsid w:val="00F15EB1"/>
    <w:rsid w:val="00F27D61"/>
    <w:rsid w:val="00F37EB0"/>
    <w:rsid w:val="00F549D8"/>
    <w:rsid w:val="00F64EE6"/>
    <w:rsid w:val="00F65089"/>
    <w:rsid w:val="00F9179B"/>
    <w:rsid w:val="00F91F3F"/>
    <w:rsid w:val="00F9310E"/>
    <w:rsid w:val="00F93E15"/>
    <w:rsid w:val="00F94098"/>
    <w:rsid w:val="00F97667"/>
    <w:rsid w:val="00FC1CBD"/>
    <w:rsid w:val="00FD3BF4"/>
    <w:rsid w:val="00FD58AE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9D1B9"/>
  <w15:chartTrackingRefBased/>
  <w15:docId w15:val="{FDF58AB7-377A-4BF4-9206-D65F60F8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  <w:lang w:val="fr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03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jc w:val="both"/>
    </w:pPr>
    <w:rPr>
      <w:sz w:val="24"/>
    </w:rPr>
  </w:style>
  <w:style w:type="paragraph" w:customStyle="1" w:styleId="SeqLevel9">
    <w:name w:val="Seq Level 9"/>
    <w:basedOn w:val="Normal"/>
    <w:pPr>
      <w:jc w:val="both"/>
    </w:pPr>
    <w:rPr>
      <w:sz w:val="24"/>
    </w:rPr>
  </w:style>
  <w:style w:type="paragraph" w:customStyle="1" w:styleId="SeqLevel8">
    <w:name w:val="Seq Level 8"/>
    <w:basedOn w:val="Normal"/>
    <w:pPr>
      <w:jc w:val="both"/>
    </w:pPr>
    <w:rPr>
      <w:sz w:val="24"/>
    </w:rPr>
  </w:style>
  <w:style w:type="paragraph" w:customStyle="1" w:styleId="SeqLevel7">
    <w:name w:val="Seq Level 7"/>
    <w:basedOn w:val="Normal"/>
    <w:pPr>
      <w:jc w:val="both"/>
    </w:pPr>
    <w:rPr>
      <w:sz w:val="24"/>
    </w:rPr>
  </w:style>
  <w:style w:type="paragraph" w:customStyle="1" w:styleId="SeqLevel6">
    <w:name w:val="Seq Level 6"/>
    <w:basedOn w:val="Normal"/>
    <w:pPr>
      <w:jc w:val="both"/>
    </w:pPr>
    <w:rPr>
      <w:sz w:val="24"/>
    </w:rPr>
  </w:style>
  <w:style w:type="paragraph" w:customStyle="1" w:styleId="SeqLevel5">
    <w:name w:val="Seq Level 5"/>
    <w:basedOn w:val="Normal"/>
    <w:pPr>
      <w:jc w:val="both"/>
    </w:pPr>
    <w:rPr>
      <w:sz w:val="24"/>
    </w:rPr>
  </w:style>
  <w:style w:type="paragraph" w:customStyle="1" w:styleId="SeqLevel4">
    <w:name w:val="Seq Level 4"/>
    <w:basedOn w:val="Normal"/>
    <w:pPr>
      <w:jc w:val="both"/>
    </w:pPr>
    <w:rPr>
      <w:sz w:val="24"/>
    </w:rPr>
  </w:style>
  <w:style w:type="paragraph" w:customStyle="1" w:styleId="SeqLevel3">
    <w:name w:val="Seq Level 3"/>
    <w:basedOn w:val="Normal"/>
    <w:pPr>
      <w:jc w:val="both"/>
    </w:pPr>
    <w:rPr>
      <w:sz w:val="24"/>
    </w:rPr>
  </w:style>
  <w:style w:type="paragraph" w:customStyle="1" w:styleId="SeqLevel2">
    <w:name w:val="Seq Level 2"/>
    <w:basedOn w:val="Normal"/>
    <w:pPr>
      <w:jc w:val="both"/>
    </w:pPr>
    <w:rPr>
      <w:sz w:val="24"/>
    </w:rPr>
  </w:style>
  <w:style w:type="paragraph" w:customStyle="1" w:styleId="SeqLevel1">
    <w:name w:val="Seq Level 1"/>
    <w:basedOn w:val="Normal"/>
    <w:pPr>
      <w:jc w:val="both"/>
    </w:pPr>
    <w:rPr>
      <w:sz w:val="24"/>
    </w:rPr>
  </w:style>
  <w:style w:type="paragraph" w:customStyle="1" w:styleId="NumberList">
    <w:name w:val="Number List"/>
    <w:basedOn w:val="Normal"/>
    <w:p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CommentReference">
    <w:name w:val="annotation reference"/>
    <w:uiPriority w:val="99"/>
    <w:semiHidden/>
    <w:rsid w:val="00B0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6BA5"/>
  </w:style>
  <w:style w:type="paragraph" w:styleId="CommentSubject">
    <w:name w:val="annotation subject"/>
    <w:basedOn w:val="CommentText"/>
    <w:next w:val="CommentText"/>
    <w:semiHidden/>
    <w:rsid w:val="00B06BA5"/>
    <w:rPr>
      <w:b/>
      <w:bCs/>
    </w:rPr>
  </w:style>
  <w:style w:type="character" w:customStyle="1" w:styleId="FooterChar">
    <w:name w:val="Footer Char"/>
    <w:link w:val="Footer"/>
    <w:uiPriority w:val="99"/>
    <w:rsid w:val="00A42B6D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ListParagraph">
    <w:name w:val="List Paragraph"/>
    <w:basedOn w:val="Normal"/>
    <w:uiPriority w:val="1"/>
    <w:qFormat/>
    <w:rsid w:val="00D674DC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552E9"/>
    <w:rPr>
      <w:lang w:eastAsia="en-US"/>
    </w:rPr>
  </w:style>
  <w:style w:type="character" w:customStyle="1" w:styleId="CommentTextChar">
    <w:name w:val="Comment Text Char"/>
    <w:link w:val="CommentText"/>
    <w:uiPriority w:val="99"/>
    <w:rsid w:val="0083027D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62594"/>
  </w:style>
  <w:style w:type="character" w:customStyle="1" w:styleId="FootnoteTextChar">
    <w:name w:val="Footnote Text Char"/>
    <w:link w:val="FootnoteText"/>
    <w:uiPriority w:val="99"/>
    <w:rsid w:val="00662594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66259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EF6B03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en-US"/>
    </w:rPr>
  </w:style>
  <w:style w:type="character" w:styleId="UnresolvedMention">
    <w:name w:val="Unresolved Mention"/>
    <w:uiPriority w:val="99"/>
    <w:semiHidden/>
    <w:unhideWhenUsed/>
    <w:rsid w:val="00587DD0"/>
    <w:rPr>
      <w:color w:val="605E5C"/>
      <w:shd w:val="clear" w:color="auto" w:fill="E1DFDD"/>
    </w:rPr>
  </w:style>
  <w:style w:type="paragraph" w:customStyle="1" w:styleId="MediumList2-Accent21">
    <w:name w:val="Medium List 2 - Accent 21"/>
    <w:hidden/>
    <w:uiPriority w:val="99"/>
    <w:semiHidden/>
    <w:rsid w:val="008F65C3"/>
    <w:rPr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8F65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val="de-AT"/>
    </w:rPr>
  </w:style>
  <w:style w:type="paragraph" w:customStyle="1" w:styleId="MediumGrid21">
    <w:name w:val="Medium Grid 21"/>
    <w:uiPriority w:val="1"/>
    <w:qFormat/>
    <w:rsid w:val="008F65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8F65C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agencystandingcommittee.org/sites/default/files/migrated/2022-08/Outcome%20Paper%20Towards%20Co-ownership%20-%20Caucus%20on%20Intermediaries%20-%20August%202022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blocalisation.ifrc.org/wp-content/uploads/2018/06/categories_for_tracking_direct_as_possible_funding_to_local_and_national_actors_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2635584BB594AB44BC1B719B0B032" ma:contentTypeVersion="20" ma:contentTypeDescription="Create a new document." ma:contentTypeScope="" ma:versionID="a3f5cf3ab214d0605b7bd585c2207f21">
  <xsd:schema xmlns:xsd="http://www.w3.org/2001/XMLSchema" xmlns:xs="http://www.w3.org/2001/XMLSchema" xmlns:p="http://schemas.microsoft.com/office/2006/metadata/properties" xmlns:ns1="http://schemas.microsoft.com/sharepoint/v3" xmlns:ns2="5134ff73-d63e-42a1-a628-1fd81b4c7758" xmlns:ns3="0b604a3c-689d-4a12-8886-2474bf82c5e0" targetNamespace="http://schemas.microsoft.com/office/2006/metadata/properties" ma:root="true" ma:fieldsID="3b85e53952307ffe6fb9e44651a7bdea" ns1:_="" ns2:_="" ns3:_="">
    <xsd:import namespace="http://schemas.microsoft.com/sharepoint/v3"/>
    <xsd:import namespace="5134ff73-d63e-42a1-a628-1fd81b4c7758"/>
    <xsd:import namespace="0b604a3c-689d-4a12-8886-2474bf82c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ff73-d63e-42a1-a628-1fd81b4c7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4a3c-689d-4a12-8886-2474bf82c5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099b52-f207-4a1b-a76e-bcec4a60808b}" ma:internalName="TaxCatchAll" ma:showField="CatchAllData" ma:web="0b604a3c-689d-4a12-8886-2474bf82c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4ff73-d63e-42a1-a628-1fd81b4c7758">
      <Terms xmlns="http://schemas.microsoft.com/office/infopath/2007/PartnerControls"/>
    </lcf76f155ced4ddcb4097134ff3c332f>
    <TaxCatchAll xmlns="0b604a3c-689d-4a12-8886-2474bf82c5e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FD82F9-3EBF-425B-97A2-801589875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4ff73-d63e-42a1-a628-1fd81b4c7758"/>
    <ds:schemaRef ds:uri="0b604a3c-689d-4a12-8886-2474bf82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3F5E8-FE44-4A04-9A18-81137BEDBDD3}">
  <ds:schemaRefs>
    <ds:schemaRef ds:uri="http://schemas.microsoft.com/office/2006/metadata/properties"/>
    <ds:schemaRef ds:uri="http://schemas.microsoft.com/office/infopath/2007/PartnerControls"/>
    <ds:schemaRef ds:uri="e03e918f-d519-403d-a5df-68d079462381"/>
    <ds:schemaRef ds:uri="133e5729-7bb1-4685-bd1f-c5e580a2ee33"/>
    <ds:schemaRef ds:uri="5134ff73-d63e-42a1-a628-1fd81b4c7758"/>
    <ds:schemaRef ds:uri="0b604a3c-689d-4a12-8886-2474bf82c5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D90BD1-C371-4DB5-8821-CE887FA53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F13AC-3C83-462B-9BCA-0BF51ED19A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65E72F-D976-46AC-B060-B9B6E55DEBB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Conference of the Red Cross and Red Crescent</vt:lpstr>
    </vt:vector>
  </TitlesOfParts>
  <Company>ICRC</Company>
  <LinksUpToDate>false</LinksUpToDate>
  <CharactersWithSpaces>11733</CharactersWithSpaces>
  <SharedDoc>false</SharedDoc>
  <HLinks>
    <vt:vector size="12" baseType="variant"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https://interagencystandingcommittee.org/sites/default/files/migrated/2022-08/Outcome Paper Towards Co-ownership - Caucus on Intermediaries - August 2022.pdf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https://gblocalisation.ifrc.org/wp-content/uploads/2018/06/categories_for_tracking_direct_as_possible_funding_to_local_and_national_actors_003.pdf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subject/>
  <dc:creator>Cristina Purrinos Zaro Javier</dc:creator>
  <cp:keywords/>
  <cp:lastModifiedBy>Eva Zanardi</cp:lastModifiedBy>
  <cp:revision>2</cp:revision>
  <cp:lastPrinted>2024-10-18T14:38:00Z</cp:lastPrinted>
  <dcterms:created xsi:type="dcterms:W3CDTF">2025-06-06T16:19:00Z</dcterms:created>
  <dcterms:modified xsi:type="dcterms:W3CDTF">2025-06-06T16:19:00Z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ICRC-432-5014</vt:lpwstr>
  </property>
  <property fmtid="{D5CDD505-2E9C-101B-9397-08002B2CF9AE}" pid="3" name="_dlc_DocIdItemGuid">
    <vt:lpwstr>0ea76a63-9077-42c0-a696-2fbe85f59335</vt:lpwstr>
  </property>
  <property fmtid="{D5CDD505-2E9C-101B-9397-08002B2CF9AE}" pid="4" name="_dlc_DocIdUrl">
    <vt:lpwstr>https://teams.ext.icrc.org/projects/codic/_layouts/DocIdRedir.aspx?ID=ICRC-432-5014, ICRC-432-5014</vt:lpwstr>
  </property>
  <property fmtid="{D5CDD505-2E9C-101B-9397-08002B2CF9AE}" pid="5" name="ICRCBizFuncTaxHTField0">
    <vt:lpwstr/>
  </property>
  <property fmtid="{D5CDD505-2E9C-101B-9397-08002B2CF9AE}" pid="6" name="ICRCProgramTaxHTField0">
    <vt:lpwstr/>
  </property>
  <property fmtid="{D5CDD505-2E9C-101B-9397-08002B2CF9AE}" pid="7" name="ICRCDocConfidentialityTaxHTField0">
    <vt:lpwstr/>
  </property>
  <property fmtid="{D5CDD505-2E9C-101B-9397-08002B2CF9AE}" pid="8" name="IconOverlay">
    <vt:lpwstr/>
  </property>
  <property fmtid="{D5CDD505-2E9C-101B-9397-08002B2CF9AE}" pid="9" name="ICRCOUTaxHTField0">
    <vt:lpwstr/>
  </property>
  <property fmtid="{D5CDD505-2E9C-101B-9397-08002B2CF9AE}" pid="10" name="ICRCDocTypeTaxHTField0">
    <vt:lpwstr/>
  </property>
  <property fmtid="{D5CDD505-2E9C-101B-9397-08002B2CF9AE}" pid="11" name="ICRCTargetPopTaxHTField0">
    <vt:lpwstr/>
  </property>
  <property fmtid="{D5CDD505-2E9C-101B-9397-08002B2CF9AE}" pid="12" name="ICRCTopicsTaxHTField0">
    <vt:lpwstr/>
  </property>
  <property fmtid="{D5CDD505-2E9C-101B-9397-08002B2CF9AE}" pid="13" name="ICRCGOTaxHTField0">
    <vt:lpwstr/>
  </property>
  <property fmtid="{D5CDD505-2E9C-101B-9397-08002B2CF9AE}" pid="14" name="ICRCCountryTaxHTField0">
    <vt:lpwstr/>
  </property>
  <property fmtid="{D5CDD505-2E9C-101B-9397-08002B2CF9AE}" pid="15" name="MSIP_Label_6627b15a-80ec-4ef7-8353-f32e3c89bf3e_Enabled">
    <vt:lpwstr>true</vt:lpwstr>
  </property>
  <property fmtid="{D5CDD505-2E9C-101B-9397-08002B2CF9AE}" pid="16" name="MSIP_Label_6627b15a-80ec-4ef7-8353-f32e3c89bf3e_SetDate">
    <vt:lpwstr>2024-10-28T07:47:17Z</vt:lpwstr>
  </property>
  <property fmtid="{D5CDD505-2E9C-101B-9397-08002B2CF9AE}" pid="17" name="MSIP_Label_6627b15a-80ec-4ef7-8353-f32e3c89bf3e_Method">
    <vt:lpwstr>Privileged</vt:lpwstr>
  </property>
  <property fmtid="{D5CDD505-2E9C-101B-9397-08002B2CF9AE}" pid="18" name="MSIP_Label_6627b15a-80ec-4ef7-8353-f32e3c89bf3e_Name">
    <vt:lpwstr>IFRC Internal</vt:lpwstr>
  </property>
  <property fmtid="{D5CDD505-2E9C-101B-9397-08002B2CF9AE}" pid="19" name="MSIP_Label_6627b15a-80ec-4ef7-8353-f32e3c89bf3e_SiteId">
    <vt:lpwstr>a2b53be5-734e-4e6c-ab0d-d184f60fd917</vt:lpwstr>
  </property>
  <property fmtid="{D5CDD505-2E9C-101B-9397-08002B2CF9AE}" pid="20" name="MSIP_Label_6627b15a-80ec-4ef7-8353-f32e3c89bf3e_ActionId">
    <vt:lpwstr>923fa14d-9489-44b9-b9de-2b545d9f621e</vt:lpwstr>
  </property>
  <property fmtid="{D5CDD505-2E9C-101B-9397-08002B2CF9AE}" pid="21" name="MSIP_Label_6627b15a-80ec-4ef7-8353-f32e3c89bf3e_ContentBits">
    <vt:lpwstr>2</vt:lpwstr>
  </property>
  <property fmtid="{D5CDD505-2E9C-101B-9397-08002B2CF9AE}" pid="22" name="MediaServiceImageTags">
    <vt:lpwstr/>
  </property>
  <property fmtid="{D5CDD505-2E9C-101B-9397-08002B2CF9AE}" pid="23" name="ContentTypeId">
    <vt:lpwstr>0x0101001892635584BB594AB44BC1B719B0B032</vt:lpwstr>
  </property>
</Properties>
</file>