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A31E" w14:textId="474A5A4D" w:rsidR="007D3305" w:rsidRPr="00DE4D63" w:rsidRDefault="0099051A" w:rsidP="007D3305">
      <w:pPr>
        <w:pStyle w:val="BodySingle"/>
        <w:jc w:val="center"/>
      </w:pPr>
      <w:r w:rsidRPr="0099051A">
        <w:rPr>
          <w:noProof/>
        </w:rPr>
        <w:drawing>
          <wp:inline distT="0" distB="0" distL="0" distR="0" wp14:anchorId="0A77069B" wp14:editId="3C047BA1">
            <wp:extent cx="4468761" cy="1261016"/>
            <wp:effectExtent l="0" t="0" r="0" b="0"/>
            <wp:docPr id="690109267" name="Imagen 1" descr="Interfaz de usuario gráfic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09267" name="Imagen 1" descr="Interfaz de usuario gráfica, Texto"/>
                    <pic:cNvPicPr/>
                  </pic:nvPicPr>
                  <pic:blipFill>
                    <a:blip r:embed="rId12"/>
                    <a:stretch>
                      <a:fillRect/>
                    </a:stretch>
                  </pic:blipFill>
                  <pic:spPr>
                    <a:xfrm>
                      <a:off x="0" y="0"/>
                      <a:ext cx="4485903" cy="1265853"/>
                    </a:xfrm>
                    <a:prstGeom prst="rect">
                      <a:avLst/>
                    </a:prstGeom>
                  </pic:spPr>
                </pic:pic>
              </a:graphicData>
            </a:graphic>
          </wp:inline>
        </w:drawing>
      </w:r>
    </w:p>
    <w:p w14:paraId="45409BBA" w14:textId="77777777" w:rsidR="009C675B" w:rsidRPr="00DE4D63" w:rsidRDefault="009C675B" w:rsidP="009C675B">
      <w:pPr>
        <w:pStyle w:val="BodySingle"/>
        <w:jc w:val="center"/>
        <w:rPr>
          <w:rFonts w:cs="Arial"/>
          <w:sz w:val="22"/>
          <w:szCs w:val="22"/>
        </w:rPr>
      </w:pPr>
    </w:p>
    <w:p w14:paraId="5AA302B7" w14:textId="77777777" w:rsidR="009C675B" w:rsidRPr="00DE4D63" w:rsidRDefault="00EF6B03" w:rsidP="00DE4D63">
      <w:pPr>
        <w:pStyle w:val="DefaultText"/>
        <w:pBdr>
          <w:top w:val="single" w:sz="6" w:space="7" w:color="auto"/>
          <w:left w:val="single" w:sz="6" w:space="7" w:color="auto"/>
          <w:bottom w:val="single" w:sz="6" w:space="7" w:color="auto"/>
          <w:right w:val="single" w:sz="6" w:space="7" w:color="auto"/>
        </w:pBdr>
        <w:shd w:val="clear" w:color="auto" w:fill="1A3283"/>
        <w:tabs>
          <w:tab w:val="left" w:pos="2100"/>
          <w:tab w:val="center" w:pos="4536"/>
          <w:tab w:val="left" w:pos="5772"/>
        </w:tabs>
        <w:jc w:val="center"/>
        <w:rPr>
          <w:rFonts w:ascii="Arial" w:hAnsi="Arial" w:cs="Arial"/>
          <w:bCs/>
          <w:sz w:val="22"/>
          <w:szCs w:val="22"/>
        </w:rPr>
      </w:pPr>
      <w:r>
        <w:rPr>
          <w:rFonts w:ascii="Arial" w:hAnsi="Arial"/>
          <w:b/>
          <w:sz w:val="22"/>
        </w:rPr>
        <w:t>MODELO DE TEXTO PARA PROMESA</w:t>
      </w:r>
    </w:p>
    <w:p w14:paraId="3AABFFA5" w14:textId="77777777" w:rsidR="009C675B" w:rsidRPr="00DE4D63" w:rsidRDefault="009C675B" w:rsidP="00DE4D63">
      <w:pPr>
        <w:pStyle w:val="Indent1"/>
        <w:rPr>
          <w:rFonts w:ascii="Arial" w:hAnsi="Arial" w:cs="Arial"/>
          <w:sz w:val="22"/>
          <w:szCs w:val="22"/>
        </w:rPr>
      </w:pPr>
    </w:p>
    <w:p w14:paraId="737B3C9F" w14:textId="77777777" w:rsidR="00EF6B03" w:rsidRPr="00DE4D63" w:rsidRDefault="00662594" w:rsidP="00DE4D63">
      <w:pPr>
        <w:pStyle w:val="Heading1"/>
        <w:jc w:val="both"/>
        <w:rPr>
          <w:szCs w:val="22"/>
        </w:rPr>
      </w:pPr>
      <w:r>
        <w:t>Título de la promesa:</w:t>
      </w:r>
      <w:r>
        <w:rPr>
          <w:b w:val="0"/>
        </w:rPr>
        <w:t xml:space="preserve"> </w:t>
      </w:r>
      <w:r>
        <w:t>Impulso de la autonomía de los dirigentes, la capacidad y la ejecución locales con miras a la acción humanitaria sustentada en principios y al fomento de la resiliencia</w:t>
      </w:r>
    </w:p>
    <w:p w14:paraId="59D19E3D" w14:textId="77777777" w:rsidR="00662594" w:rsidRPr="007C2E3C" w:rsidRDefault="00662594" w:rsidP="00DE4D63">
      <w:pPr>
        <w:pStyle w:val="Heading1"/>
        <w:jc w:val="both"/>
        <w:rPr>
          <w:b w:val="0"/>
          <w:szCs w:val="22"/>
        </w:rPr>
      </w:pPr>
    </w:p>
    <w:p w14:paraId="59B07B60" w14:textId="7C9FD812" w:rsidR="00EF6B03" w:rsidRPr="00DE4D63" w:rsidRDefault="00EF6B03" w:rsidP="00F518C9">
      <w:pPr>
        <w:pStyle w:val="Indent1"/>
        <w:tabs>
          <w:tab w:val="clear" w:pos="396"/>
        </w:tabs>
        <w:ind w:left="0" w:firstLine="0"/>
        <w:rPr>
          <w:rFonts w:ascii="Arial" w:hAnsi="Arial" w:cs="Arial"/>
          <w:bCs/>
          <w:sz w:val="22"/>
          <w:szCs w:val="22"/>
        </w:rPr>
      </w:pPr>
      <w:r>
        <w:rPr>
          <w:rFonts w:ascii="Arial" w:hAnsi="Arial"/>
          <w:b/>
          <w:sz w:val="22"/>
        </w:rPr>
        <w:t xml:space="preserve">Propuesta por: </w:t>
      </w:r>
      <w:r>
        <w:rPr>
          <w:rFonts w:ascii="Arial" w:hAnsi="Arial"/>
          <w:sz w:val="22"/>
        </w:rPr>
        <w:t>Federación Internacional de Sociedades de la Cruz Roja y de la Media Luna Roja (Federación Internacional)</w:t>
      </w:r>
      <w:r w:rsidR="00223F45">
        <w:rPr>
          <w:rFonts w:ascii="Arial" w:hAnsi="Arial"/>
          <w:sz w:val="22"/>
        </w:rPr>
        <w:t>.</w:t>
      </w:r>
    </w:p>
    <w:p w14:paraId="6279FD52" w14:textId="77777777" w:rsidR="00587DD0" w:rsidRPr="00DE4D63" w:rsidRDefault="00587DD0" w:rsidP="00DE4D63">
      <w:pPr>
        <w:pStyle w:val="Indent1"/>
        <w:ind w:left="0" w:firstLine="0"/>
        <w:rPr>
          <w:rFonts w:ascii="Arial" w:hAnsi="Arial" w:cs="Arial"/>
          <w:b/>
          <w:bCs/>
          <w:sz w:val="22"/>
          <w:szCs w:val="22"/>
        </w:rPr>
      </w:pPr>
    </w:p>
    <w:p w14:paraId="7CF81EC2" w14:textId="69C299D1" w:rsidR="00661A1D" w:rsidRPr="00DE4D63" w:rsidRDefault="00661A1D" w:rsidP="00DE4D63">
      <w:pPr>
        <w:pStyle w:val="Indent1"/>
        <w:rPr>
          <w:rFonts w:ascii="Arial" w:hAnsi="Arial" w:cs="Arial"/>
          <w:b/>
          <w:bCs/>
          <w:sz w:val="22"/>
          <w:szCs w:val="22"/>
        </w:rPr>
      </w:pPr>
      <w:r>
        <w:rPr>
          <w:rFonts w:ascii="Arial" w:hAnsi="Arial"/>
          <w:b/>
          <w:sz w:val="22"/>
        </w:rPr>
        <w:t>Antecedentes y objetivo</w:t>
      </w:r>
      <w:r w:rsidR="00ED0217">
        <w:rPr>
          <w:rFonts w:ascii="Arial" w:hAnsi="Arial"/>
          <w:b/>
          <w:sz w:val="22"/>
        </w:rPr>
        <w:t>s</w:t>
      </w:r>
    </w:p>
    <w:p w14:paraId="55C0EEDD" w14:textId="32C5849C" w:rsidR="00661A1D" w:rsidRPr="00DE4D63" w:rsidRDefault="00661A1D" w:rsidP="00DE4D63">
      <w:pPr>
        <w:pStyle w:val="Indent1"/>
        <w:ind w:left="0" w:firstLine="0"/>
        <w:rPr>
          <w:rFonts w:ascii="Arial" w:hAnsi="Arial" w:cs="Arial"/>
          <w:sz w:val="22"/>
          <w:szCs w:val="22"/>
        </w:rPr>
      </w:pPr>
      <w:r>
        <w:rPr>
          <w:rFonts w:ascii="Arial" w:hAnsi="Arial"/>
          <w:sz w:val="22"/>
        </w:rPr>
        <w:t>La contextualización local</w:t>
      </w:r>
      <w:r w:rsidR="00D11936">
        <w:rPr>
          <w:rFonts w:ascii="Arial" w:hAnsi="Arial"/>
          <w:sz w:val="22"/>
        </w:rPr>
        <w:t xml:space="preserve"> de la asistencia</w:t>
      </w:r>
      <w:r>
        <w:rPr>
          <w:rFonts w:ascii="Arial" w:hAnsi="Arial"/>
          <w:sz w:val="22"/>
        </w:rPr>
        <w:t xml:space="preserve"> –un enfoque adoptado por el sistema humanitario internacional formal </w:t>
      </w:r>
      <w:r w:rsidR="00402EEC">
        <w:rPr>
          <w:rFonts w:ascii="Arial" w:hAnsi="Arial"/>
          <w:sz w:val="22"/>
        </w:rPr>
        <w:t xml:space="preserve">y </w:t>
      </w:r>
      <w:r>
        <w:rPr>
          <w:rFonts w:ascii="Arial" w:hAnsi="Arial"/>
          <w:sz w:val="22"/>
        </w:rPr>
        <w:t xml:space="preserve">popularizado por el </w:t>
      </w:r>
      <w:r w:rsidR="005138C3">
        <w:rPr>
          <w:rFonts w:ascii="Arial" w:hAnsi="Arial"/>
          <w:sz w:val="22"/>
        </w:rPr>
        <w:t>‘g</w:t>
      </w:r>
      <w:r>
        <w:rPr>
          <w:rFonts w:ascii="Arial" w:hAnsi="Arial"/>
          <w:sz w:val="22"/>
        </w:rPr>
        <w:t>ran pacto</w:t>
      </w:r>
      <w:r w:rsidR="005138C3">
        <w:rPr>
          <w:rFonts w:ascii="Arial" w:hAnsi="Arial"/>
          <w:sz w:val="22"/>
        </w:rPr>
        <w:t>’</w:t>
      </w:r>
      <w:r w:rsidRPr="00DE4D63">
        <w:rPr>
          <w:rFonts w:ascii="Arial" w:hAnsi="Arial" w:cs="Arial"/>
          <w:sz w:val="22"/>
          <w:szCs w:val="22"/>
          <w:vertAlign w:val="superscript"/>
        </w:rPr>
        <w:footnoteReference w:id="2"/>
      </w:r>
      <w:r>
        <w:rPr>
          <w:rFonts w:ascii="Arial" w:hAnsi="Arial"/>
          <w:sz w:val="22"/>
        </w:rPr>
        <w:t xml:space="preserve">– tiene por objeto el fortalecimiento de la inversión internacional y el respeto </w:t>
      </w:r>
      <w:r w:rsidR="0091486A">
        <w:rPr>
          <w:rFonts w:ascii="Arial" w:hAnsi="Arial"/>
          <w:sz w:val="22"/>
        </w:rPr>
        <w:t xml:space="preserve">por </w:t>
      </w:r>
      <w:r>
        <w:rPr>
          <w:rFonts w:ascii="Arial" w:hAnsi="Arial"/>
          <w:sz w:val="22"/>
        </w:rPr>
        <w:t>la función de los agentes locales con vistas a la reducción de costos y al aumento de</w:t>
      </w:r>
      <w:r w:rsidR="007E0085">
        <w:rPr>
          <w:rFonts w:ascii="Arial" w:hAnsi="Arial"/>
          <w:sz w:val="22"/>
        </w:rPr>
        <w:t xml:space="preserve"> la incidencia </w:t>
      </w:r>
      <w:r>
        <w:rPr>
          <w:rFonts w:ascii="Arial" w:hAnsi="Arial"/>
          <w:sz w:val="22"/>
        </w:rPr>
        <w:t xml:space="preserve">de la acción humanitaria. </w:t>
      </w:r>
    </w:p>
    <w:p w14:paraId="65986DD3" w14:textId="77777777" w:rsidR="00661A1D" w:rsidRPr="00DE4D63" w:rsidRDefault="00661A1D" w:rsidP="00DE4D63">
      <w:pPr>
        <w:pStyle w:val="Indent1"/>
        <w:ind w:left="0" w:firstLine="0"/>
        <w:rPr>
          <w:rFonts w:ascii="Arial" w:hAnsi="Arial" w:cs="Arial"/>
          <w:sz w:val="22"/>
          <w:szCs w:val="22"/>
        </w:rPr>
      </w:pPr>
    </w:p>
    <w:p w14:paraId="23BA13D1" w14:textId="3D3BE77B" w:rsidR="00661A1D" w:rsidRPr="00DE4D63" w:rsidRDefault="00661A1D" w:rsidP="00DE4D63">
      <w:pPr>
        <w:pStyle w:val="Indent1"/>
        <w:ind w:left="0" w:firstLine="0"/>
        <w:rPr>
          <w:rFonts w:ascii="Arial" w:hAnsi="Arial" w:cs="Arial"/>
          <w:sz w:val="22"/>
          <w:szCs w:val="22"/>
        </w:rPr>
      </w:pPr>
      <w:r>
        <w:rPr>
          <w:rFonts w:ascii="Arial" w:hAnsi="Arial"/>
          <w:sz w:val="22"/>
        </w:rPr>
        <w:t xml:space="preserve">Sin embargo, el progreso alcanzado a nivel mundial </w:t>
      </w:r>
      <w:r w:rsidR="00015C6A">
        <w:rPr>
          <w:rFonts w:ascii="Arial" w:hAnsi="Arial"/>
          <w:sz w:val="22"/>
        </w:rPr>
        <w:t xml:space="preserve">en </w:t>
      </w:r>
      <w:r w:rsidR="003049D3">
        <w:rPr>
          <w:rFonts w:ascii="Arial" w:hAnsi="Arial"/>
          <w:sz w:val="22"/>
        </w:rPr>
        <w:t xml:space="preserve">relación con </w:t>
      </w:r>
      <w:r>
        <w:rPr>
          <w:rFonts w:ascii="Arial" w:hAnsi="Arial"/>
          <w:sz w:val="22"/>
        </w:rPr>
        <w:t xml:space="preserve">los compromisos </w:t>
      </w:r>
      <w:r w:rsidR="00423233">
        <w:rPr>
          <w:rFonts w:ascii="Arial" w:hAnsi="Arial"/>
          <w:sz w:val="22"/>
        </w:rPr>
        <w:t>sobre</w:t>
      </w:r>
      <w:r>
        <w:rPr>
          <w:rFonts w:ascii="Arial" w:hAnsi="Arial"/>
          <w:sz w:val="22"/>
        </w:rPr>
        <w:t xml:space="preserve"> contextualización local</w:t>
      </w:r>
      <w:r w:rsidR="007618C5">
        <w:rPr>
          <w:rFonts w:ascii="Arial" w:hAnsi="Arial"/>
          <w:sz w:val="22"/>
        </w:rPr>
        <w:t xml:space="preserve"> </w:t>
      </w:r>
      <w:r>
        <w:rPr>
          <w:rFonts w:ascii="Arial" w:hAnsi="Arial"/>
          <w:sz w:val="22"/>
        </w:rPr>
        <w:t xml:space="preserve">asumidos en el </w:t>
      </w:r>
      <w:r w:rsidR="000B082A">
        <w:rPr>
          <w:rFonts w:ascii="Arial" w:hAnsi="Arial"/>
          <w:sz w:val="22"/>
        </w:rPr>
        <w:t>‘g</w:t>
      </w:r>
      <w:r>
        <w:rPr>
          <w:rFonts w:ascii="Arial" w:hAnsi="Arial"/>
          <w:sz w:val="22"/>
        </w:rPr>
        <w:t>ran pacto</w:t>
      </w:r>
      <w:r w:rsidR="000B082A">
        <w:rPr>
          <w:rFonts w:ascii="Arial" w:hAnsi="Arial"/>
          <w:sz w:val="22"/>
        </w:rPr>
        <w:t>’</w:t>
      </w:r>
      <w:r>
        <w:rPr>
          <w:rFonts w:ascii="Arial" w:hAnsi="Arial"/>
          <w:sz w:val="22"/>
        </w:rPr>
        <w:t xml:space="preserve"> y en otras iniciativas similares en los ámbitos del desarrollo y de la adaptación al cambio climático </w:t>
      </w:r>
      <w:r w:rsidR="008E4331">
        <w:rPr>
          <w:rFonts w:ascii="Arial" w:hAnsi="Arial"/>
          <w:sz w:val="22"/>
        </w:rPr>
        <w:t xml:space="preserve">es </w:t>
      </w:r>
      <w:r>
        <w:rPr>
          <w:rFonts w:ascii="Arial" w:hAnsi="Arial"/>
          <w:sz w:val="22"/>
        </w:rPr>
        <w:t xml:space="preserve">aún lento –en materia de financiación, apoyo al fortalecimiento de las capacidades, aptitudes de dirección y adopción de decisiones– para los agentes locales. </w:t>
      </w:r>
    </w:p>
    <w:p w14:paraId="3496FC70" w14:textId="77777777" w:rsidR="00661A1D" w:rsidRPr="00DE4D63" w:rsidRDefault="00661A1D" w:rsidP="00DE4D63">
      <w:pPr>
        <w:pStyle w:val="Indent1"/>
        <w:ind w:left="0" w:firstLine="0"/>
        <w:rPr>
          <w:rFonts w:ascii="Arial" w:hAnsi="Arial" w:cs="Arial"/>
          <w:sz w:val="22"/>
          <w:szCs w:val="22"/>
        </w:rPr>
      </w:pPr>
    </w:p>
    <w:p w14:paraId="1F5F216B" w14:textId="5946275B" w:rsidR="00661A1D" w:rsidRPr="00DE4D63" w:rsidRDefault="00661A1D" w:rsidP="00DE4D63">
      <w:pPr>
        <w:pStyle w:val="Indent1"/>
        <w:ind w:left="0" w:firstLine="0"/>
        <w:rPr>
          <w:rFonts w:ascii="Arial" w:hAnsi="Arial" w:cs="Arial"/>
          <w:sz w:val="22"/>
          <w:szCs w:val="22"/>
        </w:rPr>
      </w:pPr>
      <w:r>
        <w:rPr>
          <w:rFonts w:ascii="Arial" w:hAnsi="Arial"/>
          <w:sz w:val="22"/>
        </w:rPr>
        <w:t xml:space="preserve">El discurso sobre política de contextualización local también ha trascendido los objetivos de fortalecimiento de la función de los agentes locales en el contexto de la asistencia internacional y de cumplimiento de los compromisos asumidos en el </w:t>
      </w:r>
      <w:r w:rsidR="00102DDA">
        <w:rPr>
          <w:rFonts w:ascii="Arial" w:hAnsi="Arial"/>
          <w:sz w:val="22"/>
        </w:rPr>
        <w:t>‘g</w:t>
      </w:r>
      <w:r>
        <w:rPr>
          <w:rFonts w:ascii="Arial" w:hAnsi="Arial"/>
          <w:sz w:val="22"/>
        </w:rPr>
        <w:t>ran pacto</w:t>
      </w:r>
      <w:r w:rsidR="00102DDA">
        <w:rPr>
          <w:rFonts w:ascii="Arial" w:hAnsi="Arial"/>
          <w:sz w:val="22"/>
        </w:rPr>
        <w:t>’</w:t>
      </w:r>
      <w:r>
        <w:rPr>
          <w:rFonts w:ascii="Arial" w:hAnsi="Arial"/>
          <w:sz w:val="22"/>
        </w:rPr>
        <w:t>, y se orienta hacia un</w:t>
      </w:r>
      <w:r w:rsidR="00C91E65">
        <w:rPr>
          <w:rFonts w:ascii="Arial" w:hAnsi="Arial"/>
          <w:sz w:val="22"/>
        </w:rPr>
        <w:t xml:space="preserve"> programa </w:t>
      </w:r>
      <w:r>
        <w:rPr>
          <w:rFonts w:ascii="Arial" w:hAnsi="Arial"/>
          <w:sz w:val="22"/>
        </w:rPr>
        <w:t>impulsad</w:t>
      </w:r>
      <w:r w:rsidR="00C91E65">
        <w:rPr>
          <w:rFonts w:ascii="Arial" w:hAnsi="Arial"/>
          <w:sz w:val="22"/>
        </w:rPr>
        <w:t>o</w:t>
      </w:r>
      <w:r>
        <w:rPr>
          <w:rFonts w:ascii="Arial" w:hAnsi="Arial"/>
          <w:sz w:val="22"/>
        </w:rPr>
        <w:t xml:space="preserve"> a nivel local, que pone de relieve el poder y la capacidad de acción</w:t>
      </w:r>
      <w:r w:rsidR="00027AD3">
        <w:rPr>
          <w:rFonts w:ascii="Arial" w:hAnsi="Arial"/>
          <w:sz w:val="22"/>
        </w:rPr>
        <w:t xml:space="preserve"> tanto</w:t>
      </w:r>
      <w:r>
        <w:rPr>
          <w:rFonts w:ascii="Arial" w:hAnsi="Arial"/>
          <w:sz w:val="22"/>
        </w:rPr>
        <w:t xml:space="preserve"> de las personas afectadas</w:t>
      </w:r>
      <w:r w:rsidR="00027AD3">
        <w:rPr>
          <w:rFonts w:ascii="Arial" w:hAnsi="Arial"/>
          <w:sz w:val="22"/>
        </w:rPr>
        <w:t xml:space="preserve"> como</w:t>
      </w:r>
      <w:r>
        <w:rPr>
          <w:rFonts w:ascii="Arial" w:hAnsi="Arial"/>
          <w:sz w:val="22"/>
        </w:rPr>
        <w:t xml:space="preserve"> de los agentes locales en la acción humanitaria.</w:t>
      </w:r>
    </w:p>
    <w:p w14:paraId="1F91B959" w14:textId="77777777" w:rsidR="00661A1D" w:rsidRPr="00DE4D63" w:rsidRDefault="00661A1D" w:rsidP="00DE4D63">
      <w:pPr>
        <w:pStyle w:val="Indent1"/>
        <w:rPr>
          <w:rFonts w:ascii="Arial" w:hAnsi="Arial" w:cs="Arial"/>
          <w:sz w:val="22"/>
          <w:szCs w:val="22"/>
        </w:rPr>
      </w:pPr>
    </w:p>
    <w:p w14:paraId="34805D01" w14:textId="77777777" w:rsidR="00661A1D" w:rsidRPr="00DE4D63" w:rsidRDefault="00661A1D" w:rsidP="00DE4D63">
      <w:pPr>
        <w:pStyle w:val="Indent1"/>
        <w:ind w:left="0" w:firstLine="0"/>
        <w:rPr>
          <w:rFonts w:ascii="Arial" w:hAnsi="Arial" w:cs="Arial"/>
          <w:sz w:val="22"/>
          <w:szCs w:val="22"/>
        </w:rPr>
      </w:pPr>
      <w:r>
        <w:rPr>
          <w:rFonts w:ascii="Arial" w:hAnsi="Arial"/>
          <w:sz w:val="22"/>
        </w:rPr>
        <w:t xml:space="preserve">El Movimiento Internacional de la Cruz Roja y de la Media Luna Roja (Movimiento) tiene una estructura y una identidad singulares, sustentadas en los Convenios de Ginebra y en los estatutos del Movimiento, y consta de componentes locales, nacionales y mundiales que actúan de manera mancomunada y complementaria en un marco de respeto de los principios fundamentales. </w:t>
      </w:r>
    </w:p>
    <w:p w14:paraId="3B7CC8C1" w14:textId="77777777" w:rsidR="00661A1D" w:rsidRPr="00DE4D63" w:rsidRDefault="00661A1D" w:rsidP="00DE4D63">
      <w:pPr>
        <w:pStyle w:val="Indent1"/>
        <w:rPr>
          <w:rFonts w:ascii="Arial" w:hAnsi="Arial" w:cs="Arial"/>
          <w:sz w:val="22"/>
          <w:szCs w:val="22"/>
        </w:rPr>
      </w:pPr>
    </w:p>
    <w:p w14:paraId="3D2E6257" w14:textId="0E29B4DB" w:rsidR="00661A1D" w:rsidRPr="00DE4D63" w:rsidRDefault="00661A1D" w:rsidP="00DE4D63">
      <w:pPr>
        <w:pStyle w:val="Indent1"/>
        <w:ind w:left="0" w:firstLine="0"/>
        <w:rPr>
          <w:rFonts w:ascii="Arial" w:hAnsi="Arial" w:cs="Arial"/>
          <w:sz w:val="22"/>
          <w:szCs w:val="22"/>
        </w:rPr>
      </w:pPr>
      <w:r>
        <w:rPr>
          <w:rFonts w:ascii="Arial" w:hAnsi="Arial"/>
          <w:sz w:val="22"/>
        </w:rPr>
        <w:t xml:space="preserve">El Movimiento está integrado por ciento noventa y una (191) Sociedades Nacionales de la Cruz Roja y de la Media Luna Roja (Sociedades Nacionales) </w:t>
      </w:r>
      <w:r w:rsidR="004C3BED">
        <w:rPr>
          <w:rFonts w:ascii="Arial" w:hAnsi="Arial"/>
          <w:sz w:val="22"/>
        </w:rPr>
        <w:t>–</w:t>
      </w:r>
      <w:r w:rsidR="00E60FBE">
        <w:rPr>
          <w:rFonts w:ascii="Arial" w:hAnsi="Arial"/>
          <w:sz w:val="22"/>
        </w:rPr>
        <w:t xml:space="preserve"> que gozan de </w:t>
      </w:r>
      <w:r>
        <w:rPr>
          <w:rFonts w:ascii="Arial" w:hAnsi="Arial"/>
          <w:sz w:val="22"/>
        </w:rPr>
        <w:t>un estatuto especial en calidad de auxiliares de los poderes públicos en el ámbito humanitario</w:t>
      </w:r>
      <w:r w:rsidR="00E509FA">
        <w:rPr>
          <w:rFonts w:ascii="Arial" w:hAnsi="Arial"/>
          <w:sz w:val="22"/>
        </w:rPr>
        <w:t>–</w:t>
      </w:r>
      <w:r>
        <w:rPr>
          <w:rFonts w:ascii="Arial" w:hAnsi="Arial"/>
          <w:sz w:val="22"/>
        </w:rPr>
        <w:t>,</w:t>
      </w:r>
      <w:r w:rsidR="00E509FA">
        <w:rPr>
          <w:rFonts w:ascii="Arial" w:hAnsi="Arial"/>
          <w:sz w:val="22"/>
        </w:rPr>
        <w:t xml:space="preserve"> </w:t>
      </w:r>
      <w:r>
        <w:rPr>
          <w:rFonts w:ascii="Arial" w:hAnsi="Arial"/>
          <w:sz w:val="22"/>
        </w:rPr>
        <w:t xml:space="preserve">por </w:t>
      </w:r>
      <w:r w:rsidR="00E509FA">
        <w:rPr>
          <w:rFonts w:ascii="Arial" w:hAnsi="Arial"/>
          <w:sz w:val="22"/>
        </w:rPr>
        <w:t>l</w:t>
      </w:r>
      <w:r w:rsidR="00D75089">
        <w:rPr>
          <w:rFonts w:ascii="Arial" w:hAnsi="Arial"/>
          <w:sz w:val="22"/>
        </w:rPr>
        <w:t>a</w:t>
      </w:r>
      <w:r>
        <w:rPr>
          <w:rFonts w:ascii="Arial" w:hAnsi="Arial"/>
          <w:sz w:val="22"/>
        </w:rPr>
        <w:t xml:space="preserve"> </w:t>
      </w:r>
      <w:r>
        <w:rPr>
          <w:rFonts w:ascii="Arial" w:hAnsi="Arial"/>
          <w:sz w:val="22"/>
        </w:rPr>
        <w:lastRenderedPageBreak/>
        <w:t xml:space="preserve">Federación Internacional de Sociedades de la Cruz Roja y de la Media Luna Roja (Federación Internacional), y por el Comité Internacional de la Cruz Roja (CICR). </w:t>
      </w:r>
    </w:p>
    <w:p w14:paraId="377F6F5C" w14:textId="77777777" w:rsidR="00661A1D" w:rsidRPr="00DE4D63" w:rsidRDefault="00661A1D" w:rsidP="00DE4D63">
      <w:pPr>
        <w:pStyle w:val="Indent1"/>
        <w:rPr>
          <w:rFonts w:ascii="Arial" w:hAnsi="Arial" w:cs="Arial"/>
          <w:sz w:val="22"/>
          <w:szCs w:val="22"/>
        </w:rPr>
      </w:pPr>
    </w:p>
    <w:p w14:paraId="2EDFE867" w14:textId="0FCF82F3" w:rsidR="00661A1D" w:rsidRDefault="00661A1D" w:rsidP="00DE4D63">
      <w:pPr>
        <w:pStyle w:val="Indent1"/>
        <w:ind w:left="0" w:firstLine="0"/>
        <w:rPr>
          <w:rFonts w:ascii="Arial" w:hAnsi="Arial"/>
          <w:sz w:val="22"/>
        </w:rPr>
      </w:pPr>
      <w:r>
        <w:rPr>
          <w:rFonts w:ascii="Arial" w:hAnsi="Arial"/>
          <w:sz w:val="22"/>
        </w:rPr>
        <w:t>La Federación Internacional y el CICR proponen que en la XXXIV Conferencia Internacional de la Cruz Roja y de la Media Luna Roja (Conferencia Internacional) se apruebe una resolución en la que se inste a una mejor comprensión de la función que desempeñan los agentes locales, entre ellos las Sociedades Nacionales, en la prestación de servicios humanitarios estables en todo momento</w:t>
      </w:r>
      <w:r w:rsidR="00425F60">
        <w:rPr>
          <w:rFonts w:ascii="Arial" w:hAnsi="Arial"/>
          <w:sz w:val="22"/>
        </w:rPr>
        <w:t xml:space="preserve"> y</w:t>
      </w:r>
      <w:r w:rsidR="0036339F">
        <w:rPr>
          <w:rFonts w:ascii="Arial" w:hAnsi="Arial"/>
          <w:sz w:val="22"/>
        </w:rPr>
        <w:t xml:space="preserve"> a</w:t>
      </w:r>
      <w:r w:rsidR="00425F60">
        <w:rPr>
          <w:rFonts w:ascii="Arial" w:hAnsi="Arial"/>
          <w:sz w:val="22"/>
        </w:rPr>
        <w:t xml:space="preserve"> un mayor apoyo</w:t>
      </w:r>
      <w:r w:rsidR="0036339F">
        <w:rPr>
          <w:rFonts w:ascii="Arial" w:hAnsi="Arial"/>
          <w:sz w:val="22"/>
        </w:rPr>
        <w:t xml:space="preserve"> a esa función</w:t>
      </w:r>
      <w:r>
        <w:rPr>
          <w:rFonts w:ascii="Arial" w:hAnsi="Arial"/>
          <w:sz w:val="22"/>
        </w:rPr>
        <w:t>.</w:t>
      </w:r>
    </w:p>
    <w:p w14:paraId="1D9B69CF" w14:textId="77777777" w:rsidR="00680C9B" w:rsidRPr="00DE4D63" w:rsidRDefault="00680C9B" w:rsidP="00DE4D63">
      <w:pPr>
        <w:pStyle w:val="Indent1"/>
        <w:ind w:left="0" w:firstLine="0"/>
        <w:rPr>
          <w:rFonts w:ascii="Arial" w:hAnsi="Arial" w:cs="Arial"/>
          <w:sz w:val="22"/>
          <w:szCs w:val="22"/>
        </w:rPr>
      </w:pPr>
    </w:p>
    <w:p w14:paraId="5EE371EF" w14:textId="6430193B" w:rsidR="00661A1D" w:rsidRPr="00DE4D63" w:rsidRDefault="00661A1D" w:rsidP="00DE4D63">
      <w:pPr>
        <w:pStyle w:val="Indent1"/>
        <w:ind w:left="0" w:firstLine="0"/>
        <w:rPr>
          <w:rFonts w:ascii="Arial" w:hAnsi="Arial" w:cs="Arial"/>
          <w:sz w:val="22"/>
          <w:szCs w:val="22"/>
        </w:rPr>
      </w:pPr>
      <w:r>
        <w:rPr>
          <w:rFonts w:ascii="Arial" w:hAnsi="Arial"/>
          <w:sz w:val="22"/>
        </w:rPr>
        <w:t>En este documento se establecen opciones de eventuales compromisos concretos y orientados a la acción</w:t>
      </w:r>
      <w:r w:rsidR="00F3433A">
        <w:rPr>
          <w:rFonts w:ascii="Arial" w:hAnsi="Arial"/>
          <w:sz w:val="22"/>
        </w:rPr>
        <w:t>,</w:t>
      </w:r>
      <w:r>
        <w:rPr>
          <w:rFonts w:ascii="Arial" w:hAnsi="Arial"/>
          <w:sz w:val="22"/>
        </w:rPr>
        <w:t xml:space="preserve"> que pueden ser adaptados al contexto y a las prioridades de cada signatario</w:t>
      </w:r>
      <w:r w:rsidR="00F3433A">
        <w:rPr>
          <w:rFonts w:ascii="Arial" w:hAnsi="Arial"/>
          <w:sz w:val="22"/>
        </w:rPr>
        <w:t>,</w:t>
      </w:r>
      <w:r>
        <w:rPr>
          <w:rFonts w:ascii="Arial" w:hAnsi="Arial"/>
          <w:sz w:val="22"/>
        </w:rPr>
        <w:t xml:space="preserve"> con miras a un progreso real y transformador en las medidas impulsadas a nivel local.</w:t>
      </w:r>
    </w:p>
    <w:p w14:paraId="5696D8B5" w14:textId="77777777" w:rsidR="00661A1D" w:rsidRPr="00DE4D63" w:rsidRDefault="00661A1D" w:rsidP="00DE4D63">
      <w:pPr>
        <w:pStyle w:val="Indent1"/>
        <w:ind w:left="0" w:firstLine="0"/>
        <w:rPr>
          <w:rFonts w:ascii="Arial" w:hAnsi="Arial" w:cs="Arial"/>
          <w:sz w:val="22"/>
          <w:szCs w:val="22"/>
        </w:rPr>
      </w:pPr>
    </w:p>
    <w:p w14:paraId="74046D65" w14:textId="7044EA82" w:rsidR="00661A1D" w:rsidRDefault="00390B17" w:rsidP="00DE4D63">
      <w:pPr>
        <w:pStyle w:val="Indent1"/>
        <w:rPr>
          <w:rFonts w:ascii="Arial" w:hAnsi="Arial"/>
          <w:b/>
          <w:sz w:val="22"/>
        </w:rPr>
      </w:pPr>
      <w:r>
        <w:rPr>
          <w:rFonts w:ascii="Arial" w:hAnsi="Arial"/>
          <w:b/>
          <w:sz w:val="22"/>
        </w:rPr>
        <w:t>E</w:t>
      </w:r>
      <w:r w:rsidR="00661A1D">
        <w:rPr>
          <w:rFonts w:ascii="Arial" w:hAnsi="Arial"/>
          <w:b/>
          <w:sz w:val="22"/>
        </w:rPr>
        <w:t>ventuales medidas</w:t>
      </w:r>
      <w:r>
        <w:rPr>
          <w:rFonts w:ascii="Arial" w:hAnsi="Arial"/>
          <w:b/>
          <w:sz w:val="22"/>
        </w:rPr>
        <w:t xml:space="preserve"> contempladas</w:t>
      </w:r>
    </w:p>
    <w:p w14:paraId="731D5BBF" w14:textId="77777777" w:rsidR="00C21227" w:rsidRPr="00DE4D63" w:rsidRDefault="00C21227" w:rsidP="00DE4D63">
      <w:pPr>
        <w:pStyle w:val="Indent1"/>
        <w:rPr>
          <w:rFonts w:ascii="Arial" w:hAnsi="Arial" w:cs="Arial"/>
          <w:b/>
          <w:bCs/>
          <w:sz w:val="22"/>
          <w:szCs w:val="22"/>
        </w:rPr>
      </w:pPr>
    </w:p>
    <w:p w14:paraId="68E5AD21" w14:textId="593E0609"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Emprender </w:t>
      </w:r>
      <w:r w:rsidR="00460714">
        <w:rPr>
          <w:rFonts w:ascii="Arial" w:hAnsi="Arial"/>
          <w:sz w:val="22"/>
        </w:rPr>
        <w:t>un</w:t>
      </w:r>
      <w:r w:rsidR="00CD4A34">
        <w:rPr>
          <w:rFonts w:ascii="Arial" w:hAnsi="Arial"/>
          <w:sz w:val="22"/>
        </w:rPr>
        <w:t xml:space="preserve"> proceso de </w:t>
      </w:r>
      <w:r>
        <w:rPr>
          <w:rFonts w:ascii="Arial" w:hAnsi="Arial"/>
          <w:sz w:val="22"/>
        </w:rPr>
        <w:t xml:space="preserve">revisión institucional y cambio a fin de </w:t>
      </w:r>
      <w:r w:rsidR="00135B70">
        <w:rPr>
          <w:rFonts w:ascii="Arial" w:hAnsi="Arial"/>
          <w:sz w:val="22"/>
        </w:rPr>
        <w:t xml:space="preserve">velar por </w:t>
      </w:r>
      <w:r>
        <w:rPr>
          <w:rFonts w:ascii="Arial" w:hAnsi="Arial"/>
          <w:sz w:val="22"/>
        </w:rPr>
        <w:t xml:space="preserve">que las políticas y los procedimientos apoyen </w:t>
      </w:r>
      <w:r w:rsidR="0059280C">
        <w:rPr>
          <w:rFonts w:ascii="Arial" w:hAnsi="Arial"/>
          <w:sz w:val="22"/>
        </w:rPr>
        <w:t xml:space="preserve">y </w:t>
      </w:r>
      <w:r>
        <w:rPr>
          <w:rFonts w:ascii="Arial" w:hAnsi="Arial"/>
          <w:sz w:val="22"/>
        </w:rPr>
        <w:t xml:space="preserve">promuevan asociaciones eficaces y justas </w:t>
      </w:r>
      <w:r w:rsidR="0059280C">
        <w:rPr>
          <w:rFonts w:ascii="Arial" w:hAnsi="Arial"/>
          <w:sz w:val="22"/>
        </w:rPr>
        <w:t xml:space="preserve">tanto </w:t>
      </w:r>
      <w:r>
        <w:rPr>
          <w:rFonts w:ascii="Arial" w:hAnsi="Arial"/>
          <w:sz w:val="22"/>
        </w:rPr>
        <w:t xml:space="preserve">con las Sociedades Nacionales como con otros agentes locales pertinentes. </w:t>
      </w:r>
    </w:p>
    <w:p w14:paraId="4E2FCB7D" w14:textId="77777777" w:rsidR="00661A1D" w:rsidRPr="00DE4D63" w:rsidRDefault="00661A1D" w:rsidP="00DE4D63">
      <w:pPr>
        <w:pStyle w:val="Indent1"/>
        <w:rPr>
          <w:rFonts w:ascii="Arial" w:hAnsi="Arial" w:cs="Arial"/>
          <w:i/>
          <w:iCs/>
          <w:sz w:val="22"/>
          <w:szCs w:val="22"/>
        </w:rPr>
      </w:pPr>
    </w:p>
    <w:p w14:paraId="1A9E67F5" w14:textId="402C2018"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Suscribir el </w:t>
      </w:r>
      <w:hyperlink r:id="rId13" w:history="1">
        <w:r>
          <w:rPr>
            <w:rStyle w:val="Hyperlink"/>
            <w:rFonts w:ascii="Arial" w:hAnsi="Arial"/>
            <w:sz w:val="22"/>
          </w:rPr>
          <w:t>documento final</w:t>
        </w:r>
      </w:hyperlink>
      <w:r>
        <w:rPr>
          <w:rFonts w:ascii="Arial" w:hAnsi="Arial"/>
          <w:sz w:val="22"/>
        </w:rPr>
        <w:t xml:space="preserve"> formulado en el cónclave del </w:t>
      </w:r>
      <w:r w:rsidR="00A7525D">
        <w:rPr>
          <w:rFonts w:ascii="Arial" w:hAnsi="Arial"/>
          <w:sz w:val="22"/>
        </w:rPr>
        <w:t>‘g</w:t>
      </w:r>
      <w:r>
        <w:rPr>
          <w:rFonts w:ascii="Arial" w:hAnsi="Arial"/>
          <w:sz w:val="22"/>
        </w:rPr>
        <w:t>ran pacto</w:t>
      </w:r>
      <w:r w:rsidR="00A7525D">
        <w:rPr>
          <w:rFonts w:ascii="Arial" w:hAnsi="Arial"/>
          <w:sz w:val="22"/>
        </w:rPr>
        <w:t>’</w:t>
      </w:r>
      <w:r>
        <w:rPr>
          <w:rFonts w:ascii="Arial" w:hAnsi="Arial"/>
          <w:sz w:val="22"/>
        </w:rPr>
        <w:t xml:space="preserve"> sobre la función de los intermediarios y elaborar un plan de acción o de ejecución, según proceda.</w:t>
      </w:r>
    </w:p>
    <w:p w14:paraId="4A06EAE9" w14:textId="77777777" w:rsidR="00661A1D" w:rsidRPr="00DE4D63" w:rsidRDefault="00661A1D" w:rsidP="00DE4D63">
      <w:pPr>
        <w:pStyle w:val="Indent1"/>
        <w:rPr>
          <w:rFonts w:ascii="Arial" w:hAnsi="Arial" w:cs="Arial"/>
          <w:i/>
          <w:iCs/>
          <w:sz w:val="22"/>
          <w:szCs w:val="22"/>
        </w:rPr>
      </w:pPr>
    </w:p>
    <w:p w14:paraId="066EBC5F" w14:textId="53836184"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Invertir en asociaciones o relaciones estratégicas a más largo plazo </w:t>
      </w:r>
      <w:r w:rsidR="00EE548F">
        <w:rPr>
          <w:rFonts w:ascii="Arial" w:hAnsi="Arial"/>
          <w:sz w:val="22"/>
        </w:rPr>
        <w:t xml:space="preserve">con las Sociedades Nacionales y otros agentes locales pertinentes, que estén </w:t>
      </w:r>
      <w:r>
        <w:rPr>
          <w:rFonts w:ascii="Arial" w:hAnsi="Arial"/>
          <w:sz w:val="22"/>
        </w:rPr>
        <w:t xml:space="preserve">cimentadas </w:t>
      </w:r>
      <w:r w:rsidR="00263F8E">
        <w:rPr>
          <w:rFonts w:ascii="Arial" w:hAnsi="Arial"/>
          <w:sz w:val="22"/>
        </w:rPr>
        <w:t xml:space="preserve">auténticamente </w:t>
      </w:r>
      <w:r w:rsidR="002E3824">
        <w:rPr>
          <w:rFonts w:ascii="Arial" w:hAnsi="Arial"/>
          <w:sz w:val="22"/>
        </w:rPr>
        <w:t xml:space="preserve">en la equidad, </w:t>
      </w:r>
      <w:r>
        <w:rPr>
          <w:rFonts w:ascii="Arial" w:hAnsi="Arial"/>
          <w:sz w:val="22"/>
        </w:rPr>
        <w:t xml:space="preserve">el respeto mutuo, la transparencia, la confianza, la responsabilidad compartida y la rendición de cuentas. </w:t>
      </w:r>
    </w:p>
    <w:p w14:paraId="613D462D" w14:textId="77777777" w:rsidR="00661A1D" w:rsidRPr="00DE4D63" w:rsidRDefault="00661A1D" w:rsidP="00DE4D63">
      <w:pPr>
        <w:pStyle w:val="Indent1"/>
        <w:rPr>
          <w:rFonts w:ascii="Arial" w:hAnsi="Arial" w:cs="Arial"/>
          <w:i/>
          <w:iCs/>
          <w:sz w:val="22"/>
          <w:szCs w:val="22"/>
        </w:rPr>
      </w:pPr>
    </w:p>
    <w:p w14:paraId="06BA18FF" w14:textId="3E2917C2"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Apoyar y promover la acción local mediante la participación significativa de los agentes locales en los principales mecanismos de </w:t>
      </w:r>
      <w:r w:rsidR="00C63DF6">
        <w:rPr>
          <w:rFonts w:ascii="Arial" w:hAnsi="Arial"/>
          <w:sz w:val="22"/>
        </w:rPr>
        <w:t xml:space="preserve">decisión </w:t>
      </w:r>
      <w:r>
        <w:rPr>
          <w:rFonts w:ascii="Arial" w:hAnsi="Arial"/>
          <w:sz w:val="22"/>
        </w:rPr>
        <w:t xml:space="preserve">y de coordinación </w:t>
      </w:r>
      <w:r w:rsidR="001070E5">
        <w:rPr>
          <w:rFonts w:ascii="Arial" w:hAnsi="Arial"/>
          <w:sz w:val="22"/>
        </w:rPr>
        <w:t xml:space="preserve">en materia </w:t>
      </w:r>
      <w:r>
        <w:rPr>
          <w:rFonts w:ascii="Arial" w:hAnsi="Arial"/>
          <w:sz w:val="22"/>
        </w:rPr>
        <w:t>humanitaria.</w:t>
      </w:r>
    </w:p>
    <w:p w14:paraId="2C5DB0A6" w14:textId="77777777" w:rsidR="00661A1D" w:rsidRPr="00DE4D63" w:rsidRDefault="00661A1D" w:rsidP="00DE4D63">
      <w:pPr>
        <w:pStyle w:val="Indent1"/>
        <w:rPr>
          <w:rFonts w:ascii="Arial" w:hAnsi="Arial" w:cs="Arial"/>
          <w:sz w:val="22"/>
          <w:szCs w:val="22"/>
        </w:rPr>
      </w:pPr>
    </w:p>
    <w:p w14:paraId="214EAB1F" w14:textId="5619E11C"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Colaborar en la integración de un enfoque de distribución del riesgo en las operaciones humanitarias mediante el fomento de</w:t>
      </w:r>
      <w:r w:rsidR="001070E5">
        <w:rPr>
          <w:rFonts w:ascii="Arial" w:hAnsi="Arial"/>
          <w:sz w:val="22"/>
        </w:rPr>
        <w:t xml:space="preserve">l </w:t>
      </w:r>
      <w:r>
        <w:rPr>
          <w:rFonts w:ascii="Arial" w:hAnsi="Arial"/>
          <w:sz w:val="22"/>
        </w:rPr>
        <w:t xml:space="preserve">diálogo equitativo y </w:t>
      </w:r>
      <w:r w:rsidR="00847BB2">
        <w:rPr>
          <w:rFonts w:ascii="Arial" w:hAnsi="Arial"/>
          <w:sz w:val="22"/>
        </w:rPr>
        <w:t xml:space="preserve">de </w:t>
      </w:r>
      <w:r>
        <w:rPr>
          <w:rFonts w:ascii="Arial" w:hAnsi="Arial"/>
          <w:sz w:val="22"/>
        </w:rPr>
        <w:t>la distribución de los riesgos con el objetivo final de prestar mejor apoyo a las poblaciones afectadas, determinar los riesgos</w:t>
      </w:r>
      <w:r w:rsidR="00E633C2">
        <w:rPr>
          <w:rFonts w:ascii="Arial" w:hAnsi="Arial"/>
          <w:sz w:val="22"/>
        </w:rPr>
        <w:t>,</w:t>
      </w:r>
      <w:r>
        <w:rPr>
          <w:rFonts w:ascii="Arial" w:hAnsi="Arial"/>
          <w:sz w:val="22"/>
        </w:rPr>
        <w:t xml:space="preserve"> y propiciar una cultura de gestión del riesgo.</w:t>
      </w:r>
    </w:p>
    <w:p w14:paraId="62077D6E" w14:textId="77777777" w:rsidR="00661A1D" w:rsidRPr="00DE4D63" w:rsidRDefault="00661A1D" w:rsidP="00DE4D63">
      <w:pPr>
        <w:pStyle w:val="Indent1"/>
        <w:rPr>
          <w:rFonts w:ascii="Arial" w:hAnsi="Arial" w:cs="Arial"/>
          <w:i/>
          <w:iCs/>
          <w:sz w:val="22"/>
          <w:szCs w:val="22"/>
        </w:rPr>
      </w:pPr>
    </w:p>
    <w:p w14:paraId="5463D581" w14:textId="1C252BA1"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Invertir en el fortalecimiento de la capacidad de los agentes locales, entre ellos las Sociedades </w:t>
      </w:r>
      <w:r w:rsidR="00E633C2">
        <w:rPr>
          <w:rFonts w:ascii="Arial" w:hAnsi="Arial"/>
          <w:sz w:val="22"/>
        </w:rPr>
        <w:t>Nacionales</w:t>
      </w:r>
      <w:r>
        <w:rPr>
          <w:rFonts w:ascii="Arial" w:hAnsi="Arial"/>
          <w:sz w:val="22"/>
        </w:rPr>
        <w:t xml:space="preserve">, con inclusión de una financiación flexible que fomente una </w:t>
      </w:r>
      <w:r w:rsidR="003738A1">
        <w:rPr>
          <w:rFonts w:ascii="Arial" w:hAnsi="Arial"/>
          <w:sz w:val="22"/>
        </w:rPr>
        <w:t xml:space="preserve">mayor </w:t>
      </w:r>
      <w:r>
        <w:rPr>
          <w:rFonts w:ascii="Arial" w:hAnsi="Arial"/>
          <w:sz w:val="22"/>
        </w:rPr>
        <w:t>resiliencia institucional.</w:t>
      </w:r>
    </w:p>
    <w:p w14:paraId="150288F6" w14:textId="77777777" w:rsidR="00661A1D" w:rsidRPr="00DE4D63" w:rsidRDefault="00661A1D" w:rsidP="00DE4D63">
      <w:pPr>
        <w:pStyle w:val="Indent1"/>
        <w:rPr>
          <w:rFonts w:ascii="Arial" w:hAnsi="Arial" w:cs="Arial"/>
          <w:i/>
          <w:iCs/>
          <w:sz w:val="22"/>
          <w:szCs w:val="22"/>
        </w:rPr>
      </w:pPr>
    </w:p>
    <w:p w14:paraId="1D4D09B4" w14:textId="099E7DA5"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Proporcionar financiación flexible o sin asignación específica a largo plazo a los agentes locales y prestarles apoyo en la gestión de los riesgos y en el establecimiento de mecanismos de cumplimiento</w:t>
      </w:r>
      <w:r w:rsidR="002C108C">
        <w:rPr>
          <w:rFonts w:ascii="Arial" w:hAnsi="Arial"/>
          <w:sz w:val="22"/>
        </w:rPr>
        <w:t xml:space="preserve"> normativo</w:t>
      </w:r>
      <w:r>
        <w:rPr>
          <w:rFonts w:ascii="Arial" w:hAnsi="Arial"/>
          <w:sz w:val="22"/>
        </w:rPr>
        <w:t xml:space="preserve"> adecuados.</w:t>
      </w:r>
    </w:p>
    <w:p w14:paraId="2F7A0B0B" w14:textId="77777777" w:rsidR="00661A1D" w:rsidRPr="00DE4D63" w:rsidRDefault="00661A1D" w:rsidP="00DE4D63">
      <w:pPr>
        <w:pStyle w:val="Indent1"/>
        <w:rPr>
          <w:rFonts w:ascii="Arial" w:hAnsi="Arial" w:cs="Arial"/>
          <w:sz w:val="22"/>
          <w:szCs w:val="22"/>
        </w:rPr>
      </w:pPr>
    </w:p>
    <w:p w14:paraId="780677DD" w14:textId="77777777"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Aumentar la inversión y adoptar todas las medidas razonables para velar por la seguridad y el bienestar de los voluntarios locales, entre ellos los voluntarios de las organizaciones de la Cruz Roja y de la Media Luna Roja.</w:t>
      </w:r>
    </w:p>
    <w:p w14:paraId="2B315571" w14:textId="77777777" w:rsidR="00661A1D" w:rsidRPr="00DE4D63" w:rsidRDefault="00661A1D" w:rsidP="00DE4D63">
      <w:pPr>
        <w:pStyle w:val="Indent1"/>
        <w:rPr>
          <w:rFonts w:ascii="Arial" w:hAnsi="Arial" w:cs="Arial"/>
          <w:i/>
          <w:iCs/>
          <w:sz w:val="22"/>
          <w:szCs w:val="22"/>
        </w:rPr>
      </w:pPr>
    </w:p>
    <w:p w14:paraId="1EA7A925" w14:textId="2F9CE68D"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Promover una acción humanitaria dirigida a nivel local, sustentada en las necesidades e inclusiva</w:t>
      </w:r>
      <w:r w:rsidR="00B41EAB">
        <w:rPr>
          <w:rFonts w:ascii="Arial" w:hAnsi="Arial"/>
          <w:sz w:val="22"/>
        </w:rPr>
        <w:t xml:space="preserve">, en </w:t>
      </w:r>
      <w:r>
        <w:rPr>
          <w:rFonts w:ascii="Arial" w:hAnsi="Arial"/>
          <w:sz w:val="22"/>
        </w:rPr>
        <w:t>la interacción con las comunidades afectadas y su diversidad, en particular mediante la asociación con grupos que representen a las personas marginadas.</w:t>
      </w:r>
    </w:p>
    <w:p w14:paraId="2110A2CC" w14:textId="77777777" w:rsidR="00661A1D" w:rsidRPr="00DE4D63" w:rsidRDefault="00661A1D" w:rsidP="00DE4D63">
      <w:pPr>
        <w:pStyle w:val="Indent1"/>
        <w:rPr>
          <w:rFonts w:ascii="Arial" w:hAnsi="Arial" w:cs="Arial"/>
          <w:i/>
          <w:iCs/>
          <w:sz w:val="22"/>
          <w:szCs w:val="22"/>
        </w:rPr>
      </w:pPr>
    </w:p>
    <w:p w14:paraId="164221FC" w14:textId="42092885"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Velar por que </w:t>
      </w:r>
      <w:r w:rsidR="00C900E1">
        <w:rPr>
          <w:rFonts w:ascii="Arial" w:hAnsi="Arial"/>
          <w:sz w:val="22"/>
        </w:rPr>
        <w:t xml:space="preserve">se tenga en cuenta </w:t>
      </w:r>
      <w:r>
        <w:rPr>
          <w:rFonts w:ascii="Arial" w:hAnsi="Arial"/>
          <w:sz w:val="22"/>
        </w:rPr>
        <w:t xml:space="preserve">la opinión de las personas vulnerables a nivel local, nacional, regional y mundial mediante la diplomacia humanitaria, en especial mediante la utilización más frecuente de </w:t>
      </w:r>
      <w:r w:rsidR="008B0729">
        <w:rPr>
          <w:rFonts w:ascii="Arial" w:hAnsi="Arial"/>
          <w:sz w:val="22"/>
        </w:rPr>
        <w:t xml:space="preserve">lenguas </w:t>
      </w:r>
      <w:r>
        <w:rPr>
          <w:rFonts w:ascii="Arial" w:hAnsi="Arial"/>
          <w:sz w:val="22"/>
        </w:rPr>
        <w:t xml:space="preserve">locales, la organización de reuniones en ámbitos locales fuera de las capitales y, si </w:t>
      </w:r>
      <w:r w:rsidR="00A20E19">
        <w:rPr>
          <w:rFonts w:ascii="Arial" w:hAnsi="Arial"/>
          <w:sz w:val="22"/>
        </w:rPr>
        <w:t>fuera n</w:t>
      </w:r>
      <w:r>
        <w:rPr>
          <w:rFonts w:ascii="Arial" w:hAnsi="Arial"/>
          <w:sz w:val="22"/>
        </w:rPr>
        <w:t>ecesario, el asesoramiento de los agentes locales para que puedan desempeñar funciones de dirección y atender mejor las necesidades.</w:t>
      </w:r>
    </w:p>
    <w:p w14:paraId="021E8B08" w14:textId="77777777" w:rsidR="00661A1D" w:rsidRPr="00DE4D63" w:rsidRDefault="00661A1D" w:rsidP="00DE4D63">
      <w:pPr>
        <w:pStyle w:val="Indent1"/>
        <w:rPr>
          <w:rFonts w:ascii="Arial" w:hAnsi="Arial" w:cs="Arial"/>
          <w:i/>
          <w:iCs/>
          <w:sz w:val="22"/>
          <w:szCs w:val="22"/>
        </w:rPr>
      </w:pPr>
    </w:p>
    <w:p w14:paraId="68C85425" w14:textId="57841382"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De</w:t>
      </w:r>
      <w:r w:rsidR="007B3DA4">
        <w:rPr>
          <w:rFonts w:ascii="Arial" w:hAnsi="Arial"/>
          <w:sz w:val="22"/>
        </w:rPr>
        <w:t xml:space="preserve">terminar </w:t>
      </w:r>
      <w:r>
        <w:rPr>
          <w:rFonts w:ascii="Arial" w:hAnsi="Arial"/>
          <w:sz w:val="22"/>
        </w:rPr>
        <w:t xml:space="preserve">oportunidades para aumentar la </w:t>
      </w:r>
      <w:r w:rsidR="003B0D56">
        <w:rPr>
          <w:rFonts w:ascii="Arial" w:hAnsi="Arial"/>
          <w:sz w:val="22"/>
        </w:rPr>
        <w:t xml:space="preserve">canalización de </w:t>
      </w:r>
      <w:r>
        <w:rPr>
          <w:rFonts w:ascii="Arial" w:hAnsi="Arial"/>
          <w:sz w:val="22"/>
        </w:rPr>
        <w:t xml:space="preserve">financiación directa y tan directa </w:t>
      </w:r>
      <w:r w:rsidR="00FE34E5">
        <w:rPr>
          <w:rFonts w:ascii="Arial" w:hAnsi="Arial"/>
          <w:sz w:val="22"/>
        </w:rPr>
        <w:t>cuanto sea</w:t>
      </w:r>
      <w:r>
        <w:rPr>
          <w:rFonts w:ascii="Arial" w:hAnsi="Arial"/>
          <w:sz w:val="22"/>
        </w:rPr>
        <w:t xml:space="preserve"> posible a los agentes locales, y abordar las limitaciones legislativas y administrativas en </w:t>
      </w:r>
      <w:r w:rsidR="00082A53">
        <w:rPr>
          <w:rFonts w:ascii="Arial" w:hAnsi="Arial"/>
          <w:sz w:val="22"/>
        </w:rPr>
        <w:t>ese sentido</w:t>
      </w:r>
      <w:r>
        <w:rPr>
          <w:rFonts w:ascii="Arial" w:hAnsi="Arial"/>
          <w:sz w:val="22"/>
        </w:rPr>
        <w:t>.</w:t>
      </w:r>
    </w:p>
    <w:p w14:paraId="68511005" w14:textId="77777777" w:rsidR="00661A1D" w:rsidRPr="00DE4D63" w:rsidRDefault="00661A1D" w:rsidP="00DE4D63">
      <w:pPr>
        <w:pStyle w:val="Indent1"/>
        <w:rPr>
          <w:rFonts w:ascii="Arial" w:hAnsi="Arial" w:cs="Arial"/>
          <w:sz w:val="22"/>
          <w:szCs w:val="22"/>
        </w:rPr>
      </w:pPr>
    </w:p>
    <w:p w14:paraId="08E074F9" w14:textId="12F3A482"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Revisar y racionalizar los requisitos de diligencia debida y cumplimiento </w:t>
      </w:r>
      <w:r w:rsidR="00082A53">
        <w:rPr>
          <w:rFonts w:ascii="Arial" w:hAnsi="Arial"/>
          <w:sz w:val="22"/>
        </w:rPr>
        <w:t xml:space="preserve">normativo </w:t>
      </w:r>
      <w:r w:rsidR="00C82491">
        <w:rPr>
          <w:rFonts w:ascii="Arial" w:hAnsi="Arial"/>
          <w:sz w:val="22"/>
        </w:rPr>
        <w:t xml:space="preserve">por parte de </w:t>
      </w:r>
      <w:r>
        <w:rPr>
          <w:rFonts w:ascii="Arial" w:hAnsi="Arial"/>
          <w:sz w:val="22"/>
        </w:rPr>
        <w:t>los agentes locales, apoyando al mismo tiempo la integridad y la rendición de cuentas a través de medidas como la simplificación y la puesta en común de los requisitos de presentación de informes, la inversión en sus capacidades o la colaboración en materia de preparación y reconocimiento de la certificación de la Federación Internacional.</w:t>
      </w:r>
    </w:p>
    <w:p w14:paraId="25F4302D" w14:textId="77777777" w:rsidR="00661A1D" w:rsidRPr="00DE4D63" w:rsidRDefault="00661A1D" w:rsidP="00DE4D63">
      <w:pPr>
        <w:pStyle w:val="Indent1"/>
        <w:rPr>
          <w:rFonts w:ascii="Arial" w:hAnsi="Arial" w:cs="Arial"/>
          <w:i/>
          <w:iCs/>
          <w:sz w:val="22"/>
          <w:szCs w:val="22"/>
        </w:rPr>
      </w:pPr>
    </w:p>
    <w:p w14:paraId="23E8FF46" w14:textId="77777777"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Aumentar la inversión en el fortalecimiento de la capacidad de los agentes locales en función de la demanda y del contexto, sobre todo en contextos frágiles, de conflicto y vulnerables, con inclusión de la modalidad de financiación específica, plurianual y sin asignación específica.</w:t>
      </w:r>
    </w:p>
    <w:p w14:paraId="3C95DA80" w14:textId="77777777" w:rsidR="00661A1D" w:rsidRPr="00DE4D63" w:rsidRDefault="00661A1D" w:rsidP="00DE4D63">
      <w:pPr>
        <w:pStyle w:val="Indent1"/>
        <w:rPr>
          <w:rFonts w:ascii="Arial" w:hAnsi="Arial" w:cs="Arial"/>
          <w:i/>
          <w:iCs/>
          <w:sz w:val="22"/>
          <w:szCs w:val="22"/>
        </w:rPr>
      </w:pPr>
    </w:p>
    <w:p w14:paraId="5BEC3192" w14:textId="4F9F136E"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Incrementar la inversión en los fondos mancomunados </w:t>
      </w:r>
      <w:r w:rsidR="005E048B">
        <w:rPr>
          <w:rFonts w:ascii="Arial" w:hAnsi="Arial"/>
          <w:sz w:val="22"/>
        </w:rPr>
        <w:t xml:space="preserve">del Movimiento </w:t>
      </w:r>
      <w:r w:rsidR="00156578">
        <w:rPr>
          <w:rFonts w:ascii="Arial" w:hAnsi="Arial"/>
          <w:sz w:val="22"/>
        </w:rPr>
        <w:t>par</w:t>
      </w:r>
      <w:r w:rsidR="005E048B">
        <w:rPr>
          <w:rFonts w:ascii="Arial" w:hAnsi="Arial"/>
          <w:sz w:val="22"/>
        </w:rPr>
        <w:t xml:space="preserve">a el fomento del </w:t>
      </w:r>
      <w:r>
        <w:rPr>
          <w:rFonts w:ascii="Arial" w:hAnsi="Arial"/>
          <w:sz w:val="22"/>
        </w:rPr>
        <w:t>desarrollo de las Sociedades Nacionales, específicamente el Fondo de la Federación Internacional para el fortalecimiento de la capacidad y la Alianza para la inversión en las Sociedades Nacionales.</w:t>
      </w:r>
    </w:p>
    <w:p w14:paraId="0F369C69" w14:textId="77777777" w:rsidR="00661A1D" w:rsidRPr="00DE4D63" w:rsidRDefault="00661A1D" w:rsidP="00DE4D63">
      <w:pPr>
        <w:pStyle w:val="Indent1"/>
        <w:rPr>
          <w:rFonts w:ascii="Arial" w:hAnsi="Arial" w:cs="Arial"/>
          <w:sz w:val="22"/>
          <w:szCs w:val="22"/>
        </w:rPr>
      </w:pPr>
    </w:p>
    <w:p w14:paraId="3D1B30FA" w14:textId="14A49549"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Determinar y proporcionar </w:t>
      </w:r>
      <w:r w:rsidR="0036028A">
        <w:rPr>
          <w:rFonts w:ascii="Arial" w:hAnsi="Arial"/>
          <w:sz w:val="22"/>
        </w:rPr>
        <w:t xml:space="preserve">a los agentes locales </w:t>
      </w:r>
      <w:r>
        <w:rPr>
          <w:rFonts w:ascii="Arial" w:hAnsi="Arial"/>
          <w:sz w:val="22"/>
        </w:rPr>
        <w:t>una part</w:t>
      </w:r>
      <w:r w:rsidR="0036028A">
        <w:rPr>
          <w:rFonts w:ascii="Arial" w:hAnsi="Arial"/>
          <w:sz w:val="22"/>
        </w:rPr>
        <w:t xml:space="preserve">e </w:t>
      </w:r>
      <w:r>
        <w:rPr>
          <w:rFonts w:ascii="Arial" w:hAnsi="Arial"/>
          <w:sz w:val="22"/>
        </w:rPr>
        <w:t>o un porcentaje razonable de los gastos generales en toda financiación de proyectos y/o programas.</w:t>
      </w:r>
    </w:p>
    <w:p w14:paraId="5732AF93" w14:textId="77777777" w:rsidR="00661A1D" w:rsidRPr="00DE4D63" w:rsidRDefault="00661A1D" w:rsidP="00DE4D63">
      <w:pPr>
        <w:pStyle w:val="Indent1"/>
        <w:ind w:left="0" w:firstLine="0"/>
        <w:rPr>
          <w:rFonts w:ascii="Arial" w:hAnsi="Arial" w:cs="Arial"/>
          <w:i/>
          <w:iCs/>
          <w:sz w:val="22"/>
          <w:szCs w:val="22"/>
        </w:rPr>
      </w:pPr>
    </w:p>
    <w:p w14:paraId="4E86828D" w14:textId="52D6D9A5" w:rsidR="00661A1D" w:rsidRPr="00DE4D63" w:rsidRDefault="00661A1D" w:rsidP="00C84294">
      <w:pPr>
        <w:pStyle w:val="Indent1"/>
        <w:numPr>
          <w:ilvl w:val="0"/>
          <w:numId w:val="1"/>
        </w:numPr>
        <w:rPr>
          <w:rFonts w:ascii="Arial" w:hAnsi="Arial" w:cs="Arial"/>
          <w:sz w:val="22"/>
          <w:szCs w:val="22"/>
        </w:rPr>
      </w:pPr>
      <w:r>
        <w:rPr>
          <w:rFonts w:ascii="Arial" w:hAnsi="Arial"/>
          <w:sz w:val="22"/>
        </w:rPr>
        <w:t xml:space="preserve">Llevar a cabo [conjuntamente] una evaluación para determinar si los marcos jurídicos y políticos nacionales proporcionan cimientos sólidos y propicios para el desempeño de la función de la Sociedad Nacional en calidad de auxiliar de los poderes públicos y, de ser necesario, emprender una revisión legislativa centrada en el fortalecimiento de </w:t>
      </w:r>
      <w:r w:rsidR="00F0766C">
        <w:rPr>
          <w:rFonts w:ascii="Arial" w:hAnsi="Arial"/>
          <w:sz w:val="22"/>
        </w:rPr>
        <w:t xml:space="preserve">esa </w:t>
      </w:r>
      <w:r>
        <w:rPr>
          <w:rFonts w:ascii="Arial" w:hAnsi="Arial"/>
          <w:sz w:val="22"/>
        </w:rPr>
        <w:t>función en los instrumentos jurídicos. En particular, velar por que [incluya lo siguiente según proceda]:</w:t>
      </w:r>
    </w:p>
    <w:p w14:paraId="194B477F" w14:textId="1DAFA07E" w:rsidR="00661A1D" w:rsidRPr="00DE4D63" w:rsidRDefault="00661A1D" w:rsidP="00C84294">
      <w:pPr>
        <w:pStyle w:val="Indent1"/>
        <w:numPr>
          <w:ilvl w:val="0"/>
          <w:numId w:val="4"/>
        </w:numPr>
        <w:rPr>
          <w:rFonts w:ascii="Arial" w:hAnsi="Arial" w:cs="Arial"/>
          <w:sz w:val="22"/>
          <w:szCs w:val="22"/>
        </w:rPr>
      </w:pPr>
      <w:r>
        <w:rPr>
          <w:rFonts w:ascii="Arial" w:hAnsi="Arial"/>
          <w:sz w:val="22"/>
        </w:rPr>
        <w:t>la base jurídica de la Sociedad Nacional esté actualizada y apoye a la Sociedad Nacional en el cumplimiento de su función en calidad de auxiliar de los poderes públicos en el ámbito humanitario. En particular, velar por que la base jurídica de la Sociedad Nacional</w:t>
      </w:r>
      <w:r w:rsidR="00987F61">
        <w:rPr>
          <w:rFonts w:ascii="Arial" w:hAnsi="Arial"/>
          <w:sz w:val="22"/>
        </w:rPr>
        <w:t xml:space="preserve"> cumpla</w:t>
      </w:r>
      <w:r>
        <w:rPr>
          <w:rFonts w:ascii="Arial" w:hAnsi="Arial"/>
          <w:sz w:val="22"/>
        </w:rPr>
        <w:t xml:space="preserve">, como mínimo, las normas establecidas en los estatutos del Movimiento; </w:t>
      </w:r>
    </w:p>
    <w:p w14:paraId="780298AB" w14:textId="77777777" w:rsidR="00661A1D" w:rsidRPr="00DE4D63" w:rsidRDefault="00661A1D" w:rsidP="00DE4D63">
      <w:pPr>
        <w:pStyle w:val="Indent1"/>
        <w:ind w:left="1080" w:firstLine="0"/>
        <w:rPr>
          <w:rFonts w:ascii="Arial" w:hAnsi="Arial" w:cs="Arial"/>
          <w:sz w:val="22"/>
          <w:szCs w:val="22"/>
        </w:rPr>
      </w:pPr>
    </w:p>
    <w:p w14:paraId="16A7C78B" w14:textId="65994750" w:rsidR="00661A1D" w:rsidRPr="00DE4D63" w:rsidRDefault="00661A1D" w:rsidP="00C84294">
      <w:pPr>
        <w:pStyle w:val="Indent1"/>
        <w:numPr>
          <w:ilvl w:val="0"/>
          <w:numId w:val="4"/>
        </w:numPr>
        <w:rPr>
          <w:rFonts w:ascii="Arial" w:hAnsi="Arial" w:cs="Arial"/>
          <w:sz w:val="22"/>
          <w:szCs w:val="22"/>
        </w:rPr>
      </w:pPr>
      <w:r>
        <w:rPr>
          <w:rFonts w:ascii="Arial" w:hAnsi="Arial"/>
          <w:sz w:val="22"/>
        </w:rPr>
        <w:t xml:space="preserve">velar por que las leyes, las políticas y los planes sectoriales relativos a los ámbitos de intervención de la Sociedad Nacional </w:t>
      </w:r>
      <w:r w:rsidR="00E907E7">
        <w:rPr>
          <w:rFonts w:ascii="Arial" w:hAnsi="Arial"/>
          <w:sz w:val="22"/>
        </w:rPr>
        <w:t xml:space="preserve">de que se trate </w:t>
      </w:r>
      <w:r>
        <w:rPr>
          <w:rFonts w:ascii="Arial" w:hAnsi="Arial"/>
          <w:sz w:val="22"/>
        </w:rPr>
        <w:t xml:space="preserve">–como la gestión del riesgo de desastres, la salud, la educación, la migración, la seguridad alimentaria y la adaptación al cambio climático– reconozcan su función en calidad de auxiliar de los poderes públicos, incluyan a la Sociedad Nacional en los órganos pertinentes de </w:t>
      </w:r>
      <w:r w:rsidR="00E907E7">
        <w:rPr>
          <w:rFonts w:ascii="Arial" w:hAnsi="Arial"/>
          <w:sz w:val="22"/>
        </w:rPr>
        <w:t xml:space="preserve">decisión </w:t>
      </w:r>
      <w:r>
        <w:rPr>
          <w:rFonts w:ascii="Arial" w:hAnsi="Arial"/>
          <w:sz w:val="22"/>
        </w:rPr>
        <w:t xml:space="preserve">y coordinación, y faciliten su labor humanitaria en cumplimiento de </w:t>
      </w:r>
      <w:r w:rsidR="00E907E7">
        <w:rPr>
          <w:rFonts w:ascii="Arial" w:hAnsi="Arial"/>
          <w:sz w:val="22"/>
        </w:rPr>
        <w:t xml:space="preserve">esa </w:t>
      </w:r>
      <w:r>
        <w:rPr>
          <w:rFonts w:ascii="Arial" w:hAnsi="Arial"/>
          <w:sz w:val="22"/>
        </w:rPr>
        <w:t xml:space="preserve">función. </w:t>
      </w:r>
    </w:p>
    <w:p w14:paraId="3D9ED6DE" w14:textId="77777777" w:rsidR="00661A1D" w:rsidRPr="00DE4D63" w:rsidRDefault="00661A1D" w:rsidP="00DE4D63">
      <w:pPr>
        <w:pStyle w:val="Indent1"/>
        <w:ind w:left="0" w:firstLine="0"/>
        <w:rPr>
          <w:rFonts w:ascii="Arial" w:hAnsi="Arial" w:cs="Arial"/>
          <w:sz w:val="22"/>
          <w:szCs w:val="22"/>
        </w:rPr>
      </w:pPr>
    </w:p>
    <w:p w14:paraId="11A5E568" w14:textId="56F639A5" w:rsidR="00661A1D" w:rsidRPr="00DE4D63" w:rsidRDefault="00661A1D" w:rsidP="00C84294">
      <w:pPr>
        <w:pStyle w:val="Indent1"/>
        <w:numPr>
          <w:ilvl w:val="0"/>
          <w:numId w:val="1"/>
        </w:numPr>
        <w:rPr>
          <w:rFonts w:ascii="Arial" w:hAnsi="Arial" w:cs="Arial"/>
          <w:sz w:val="22"/>
          <w:szCs w:val="22"/>
        </w:rPr>
      </w:pPr>
      <w:r>
        <w:rPr>
          <w:rFonts w:ascii="Arial" w:hAnsi="Arial"/>
          <w:sz w:val="22"/>
        </w:rPr>
        <w:lastRenderedPageBreak/>
        <w:t xml:space="preserve">Utilizar la nueva ley modelo sobre el reconocimiento de las Sociedades Nacionales, como herramienta útil para </w:t>
      </w:r>
      <w:r w:rsidR="00590A89">
        <w:rPr>
          <w:rFonts w:ascii="Arial" w:hAnsi="Arial"/>
          <w:sz w:val="22"/>
        </w:rPr>
        <w:t xml:space="preserve">la revisión y el fortalecimiento de </w:t>
      </w:r>
      <w:r>
        <w:rPr>
          <w:rFonts w:ascii="Arial" w:hAnsi="Arial"/>
          <w:sz w:val="22"/>
        </w:rPr>
        <w:t xml:space="preserve">la base jurídica de las Sociedades Nacionales. </w:t>
      </w:r>
    </w:p>
    <w:p w14:paraId="245E89B2" w14:textId="77777777" w:rsidR="00661A1D" w:rsidRPr="00DE4D63" w:rsidRDefault="00661A1D" w:rsidP="00DE4D63">
      <w:pPr>
        <w:pStyle w:val="Indent1"/>
        <w:ind w:left="720" w:firstLine="0"/>
        <w:rPr>
          <w:rFonts w:ascii="Arial" w:hAnsi="Arial" w:cs="Arial"/>
          <w:sz w:val="22"/>
          <w:szCs w:val="22"/>
        </w:rPr>
      </w:pPr>
    </w:p>
    <w:p w14:paraId="59D52D02" w14:textId="4E30A24E" w:rsidR="00661A1D" w:rsidRPr="00DE4D63" w:rsidRDefault="00661A1D" w:rsidP="00C84294">
      <w:pPr>
        <w:pStyle w:val="Indent1"/>
        <w:numPr>
          <w:ilvl w:val="0"/>
          <w:numId w:val="1"/>
        </w:numPr>
        <w:rPr>
          <w:rFonts w:ascii="Arial" w:hAnsi="Arial" w:cs="Arial"/>
          <w:sz w:val="22"/>
          <w:szCs w:val="22"/>
        </w:rPr>
      </w:pPr>
      <w:r>
        <w:rPr>
          <w:rFonts w:ascii="Arial" w:hAnsi="Arial"/>
          <w:sz w:val="22"/>
        </w:rPr>
        <w:t>Propiciar</w:t>
      </w:r>
      <w:r w:rsidR="00590A89">
        <w:rPr>
          <w:rFonts w:ascii="Arial" w:hAnsi="Arial"/>
          <w:sz w:val="22"/>
        </w:rPr>
        <w:t xml:space="preserve"> diálogos </w:t>
      </w:r>
      <w:r w:rsidR="00580F5C">
        <w:rPr>
          <w:rFonts w:ascii="Arial" w:hAnsi="Arial"/>
          <w:sz w:val="22"/>
        </w:rPr>
        <w:t xml:space="preserve">entre </w:t>
      </w:r>
      <w:r>
        <w:rPr>
          <w:rFonts w:ascii="Arial" w:hAnsi="Arial"/>
          <w:sz w:val="22"/>
        </w:rPr>
        <w:t xml:space="preserve">las autoridades pertinentes </w:t>
      </w:r>
      <w:r w:rsidR="00580F5C">
        <w:rPr>
          <w:rFonts w:ascii="Arial" w:hAnsi="Arial"/>
          <w:sz w:val="22"/>
        </w:rPr>
        <w:t xml:space="preserve">y </w:t>
      </w:r>
      <w:r>
        <w:rPr>
          <w:rFonts w:ascii="Arial" w:hAnsi="Arial"/>
          <w:sz w:val="22"/>
        </w:rPr>
        <w:t xml:space="preserve">la </w:t>
      </w:r>
      <w:r w:rsidR="00CE689C">
        <w:rPr>
          <w:rFonts w:ascii="Arial" w:hAnsi="Arial"/>
          <w:sz w:val="22"/>
        </w:rPr>
        <w:t xml:space="preserve">respectiva </w:t>
      </w:r>
      <w:r>
        <w:rPr>
          <w:rFonts w:ascii="Arial" w:hAnsi="Arial"/>
          <w:sz w:val="22"/>
        </w:rPr>
        <w:t xml:space="preserve">Sociedad Nacional </w:t>
      </w:r>
      <w:r w:rsidR="00CE689C">
        <w:rPr>
          <w:rFonts w:ascii="Arial" w:hAnsi="Arial"/>
          <w:sz w:val="22"/>
        </w:rPr>
        <w:t>con</w:t>
      </w:r>
      <w:r w:rsidR="00580F5C">
        <w:rPr>
          <w:rFonts w:ascii="Arial" w:hAnsi="Arial"/>
          <w:sz w:val="22"/>
        </w:rPr>
        <w:t xml:space="preserve"> miras a l</w:t>
      </w:r>
      <w:r>
        <w:rPr>
          <w:rFonts w:ascii="Arial" w:hAnsi="Arial"/>
          <w:sz w:val="22"/>
        </w:rPr>
        <w:t xml:space="preserve">a concertación de acuerdos previos a las situaciones de desastre y/o memorandos de entendimiento que faciliten el desempeño eficaz de la Sociedad Nacional de su función en calidad de auxiliar de los poderes públicos, así como para </w:t>
      </w:r>
      <w:r w:rsidR="00D90FBB">
        <w:rPr>
          <w:rFonts w:ascii="Arial" w:hAnsi="Arial"/>
          <w:sz w:val="22"/>
        </w:rPr>
        <w:t xml:space="preserve">favorecer </w:t>
      </w:r>
      <w:r>
        <w:rPr>
          <w:rFonts w:ascii="Arial" w:hAnsi="Arial"/>
          <w:sz w:val="22"/>
        </w:rPr>
        <w:t>su preparación e intervención a raíz de desastres y emergencias de toda índole.</w:t>
      </w:r>
    </w:p>
    <w:p w14:paraId="622C7A2B" w14:textId="77777777" w:rsidR="00661A1D" w:rsidRPr="00DE4D63" w:rsidRDefault="00661A1D" w:rsidP="00DE4D63">
      <w:pPr>
        <w:pStyle w:val="Indent1"/>
        <w:rPr>
          <w:rFonts w:ascii="Arial" w:hAnsi="Arial" w:cs="Arial"/>
          <w:i/>
          <w:iCs/>
          <w:sz w:val="22"/>
          <w:szCs w:val="22"/>
        </w:rPr>
      </w:pPr>
    </w:p>
    <w:p w14:paraId="5F57B8A8" w14:textId="1EF2772E"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Emprender diálogos, actividades conjuntas de sensibilización e intercambios de conocimientos sobre la promoción de la contextualización local, más allá de la intervención humanitaria, entre las autoridades locales y los agentes locales, en particular las secciones de las Sociedades Nacionales, además de participar en ellos y apoyarlos, a fin de </w:t>
      </w:r>
      <w:r w:rsidR="00197AC0">
        <w:rPr>
          <w:rFonts w:ascii="Arial" w:hAnsi="Arial"/>
          <w:sz w:val="22"/>
        </w:rPr>
        <w:t xml:space="preserve">se </w:t>
      </w:r>
      <w:r>
        <w:rPr>
          <w:rFonts w:ascii="Arial" w:hAnsi="Arial"/>
          <w:sz w:val="22"/>
        </w:rPr>
        <w:t>incluya el fortalecimiento de la gestión local del riesgo de desastres, las medidas relativas al clima, la seguridad sanitaria y otros sectores prioritarios.</w:t>
      </w:r>
    </w:p>
    <w:p w14:paraId="4353FA98" w14:textId="77777777" w:rsidR="00661A1D" w:rsidRPr="00DE4D63" w:rsidRDefault="00661A1D" w:rsidP="00DE4D63">
      <w:pPr>
        <w:pStyle w:val="Indent1"/>
        <w:rPr>
          <w:rFonts w:ascii="Arial" w:hAnsi="Arial" w:cs="Arial"/>
          <w:i/>
          <w:iCs/>
          <w:sz w:val="22"/>
          <w:szCs w:val="22"/>
        </w:rPr>
      </w:pPr>
    </w:p>
    <w:p w14:paraId="07C172D6" w14:textId="0B54D822" w:rsidR="00661A1D" w:rsidRPr="00DE4D63" w:rsidRDefault="00661A1D" w:rsidP="00C84294">
      <w:pPr>
        <w:pStyle w:val="Indent1"/>
        <w:numPr>
          <w:ilvl w:val="0"/>
          <w:numId w:val="2"/>
        </w:numPr>
        <w:rPr>
          <w:rFonts w:ascii="Arial" w:hAnsi="Arial" w:cs="Arial"/>
          <w:i/>
          <w:iCs/>
          <w:sz w:val="22"/>
          <w:szCs w:val="22"/>
        </w:rPr>
      </w:pPr>
      <w:r>
        <w:rPr>
          <w:rFonts w:ascii="Arial" w:hAnsi="Arial"/>
          <w:sz w:val="22"/>
        </w:rPr>
        <w:t xml:space="preserve">Apoyar la evaluación prevista por la Federación Internacional para determinar el progreso alcanzado por la red en el establecimiento de </w:t>
      </w:r>
      <w:r w:rsidR="00AA0748">
        <w:rPr>
          <w:rFonts w:ascii="Arial" w:hAnsi="Arial"/>
          <w:sz w:val="22"/>
        </w:rPr>
        <w:t xml:space="preserve">la </w:t>
      </w:r>
      <w:r>
        <w:rPr>
          <w:rFonts w:ascii="Arial" w:hAnsi="Arial"/>
          <w:sz w:val="22"/>
        </w:rPr>
        <w:t xml:space="preserve">acción local sostenible, con énfasis en el comportamiento, la motivación y la oportunidad, además de participar en </w:t>
      </w:r>
      <w:r w:rsidR="00F775A7">
        <w:rPr>
          <w:rFonts w:ascii="Arial" w:hAnsi="Arial"/>
          <w:sz w:val="22"/>
        </w:rPr>
        <w:t>esa</w:t>
      </w:r>
      <w:r>
        <w:rPr>
          <w:rFonts w:ascii="Arial" w:hAnsi="Arial"/>
          <w:sz w:val="22"/>
        </w:rPr>
        <w:t xml:space="preserve"> evaluación. </w:t>
      </w:r>
    </w:p>
    <w:p w14:paraId="235F3883" w14:textId="77777777" w:rsidR="00661A1D" w:rsidRPr="00DE4D63" w:rsidRDefault="00661A1D" w:rsidP="00DE4D63">
      <w:pPr>
        <w:pStyle w:val="Indent1"/>
        <w:rPr>
          <w:rFonts w:ascii="Arial" w:hAnsi="Arial" w:cs="Arial"/>
          <w:i/>
          <w:iCs/>
          <w:sz w:val="22"/>
          <w:szCs w:val="22"/>
        </w:rPr>
      </w:pPr>
    </w:p>
    <w:p w14:paraId="1707B8FB" w14:textId="03E3BD21" w:rsidR="00661A1D" w:rsidRDefault="00734675" w:rsidP="00DE4D63">
      <w:pPr>
        <w:pStyle w:val="Indent1"/>
        <w:rPr>
          <w:rFonts w:ascii="Arial" w:hAnsi="Arial"/>
          <w:b/>
          <w:sz w:val="22"/>
        </w:rPr>
      </w:pPr>
      <w:r>
        <w:rPr>
          <w:rFonts w:ascii="Arial" w:hAnsi="Arial"/>
          <w:b/>
          <w:sz w:val="22"/>
        </w:rPr>
        <w:t>Eventual</w:t>
      </w:r>
      <w:r w:rsidR="00661A1D">
        <w:rPr>
          <w:rFonts w:ascii="Arial" w:hAnsi="Arial"/>
          <w:b/>
          <w:sz w:val="22"/>
        </w:rPr>
        <w:t xml:space="preserve">es indicadores para </w:t>
      </w:r>
      <w:r>
        <w:rPr>
          <w:rFonts w:ascii="Arial" w:hAnsi="Arial"/>
          <w:b/>
          <w:sz w:val="22"/>
        </w:rPr>
        <w:t xml:space="preserve">medir </w:t>
      </w:r>
      <w:r w:rsidR="00661A1D">
        <w:rPr>
          <w:rFonts w:ascii="Arial" w:hAnsi="Arial"/>
          <w:b/>
          <w:sz w:val="22"/>
        </w:rPr>
        <w:t>el progreso</w:t>
      </w:r>
    </w:p>
    <w:p w14:paraId="60AB9C33" w14:textId="77777777" w:rsidR="009159EB" w:rsidRPr="00DE4D63" w:rsidRDefault="009159EB" w:rsidP="00DE4D63">
      <w:pPr>
        <w:pStyle w:val="Indent1"/>
        <w:rPr>
          <w:rFonts w:ascii="Arial" w:hAnsi="Arial" w:cs="Arial"/>
          <w:sz w:val="22"/>
          <w:szCs w:val="22"/>
        </w:rPr>
      </w:pPr>
    </w:p>
    <w:p w14:paraId="1E50424A" w14:textId="5CBCF6F8" w:rsidR="00661A1D" w:rsidRPr="009159EB" w:rsidRDefault="00661A1D" w:rsidP="00C84294">
      <w:pPr>
        <w:pStyle w:val="Indent1"/>
        <w:numPr>
          <w:ilvl w:val="0"/>
          <w:numId w:val="3"/>
        </w:numPr>
        <w:rPr>
          <w:rFonts w:ascii="Arial" w:hAnsi="Arial" w:cs="Arial"/>
          <w:sz w:val="22"/>
          <w:szCs w:val="22"/>
        </w:rPr>
      </w:pPr>
      <w:r>
        <w:rPr>
          <w:rFonts w:ascii="Arial" w:hAnsi="Arial"/>
          <w:sz w:val="22"/>
        </w:rPr>
        <w:t xml:space="preserve">Marco de contextualización local o de acción impulsada a nivel local, o, entre otros, estrategia, documento de posición, principios rectores o plan de acción </w:t>
      </w:r>
      <w:r w:rsidR="00F775A7">
        <w:rPr>
          <w:rFonts w:ascii="Arial" w:hAnsi="Arial"/>
          <w:sz w:val="22"/>
        </w:rPr>
        <w:t>al respecto</w:t>
      </w:r>
      <w:r>
        <w:rPr>
          <w:rFonts w:ascii="Arial" w:hAnsi="Arial"/>
          <w:sz w:val="22"/>
        </w:rPr>
        <w:t>.</w:t>
      </w:r>
    </w:p>
    <w:p w14:paraId="7BF309BE" w14:textId="77777777" w:rsidR="009159EB" w:rsidRPr="00DE4D63" w:rsidRDefault="009159EB" w:rsidP="009159EB">
      <w:pPr>
        <w:pStyle w:val="Indent1"/>
        <w:ind w:left="720" w:firstLine="0"/>
        <w:rPr>
          <w:rFonts w:ascii="Arial" w:hAnsi="Arial" w:cs="Arial"/>
          <w:sz w:val="22"/>
          <w:szCs w:val="22"/>
        </w:rPr>
      </w:pPr>
    </w:p>
    <w:p w14:paraId="080BC0D7" w14:textId="725068FF" w:rsidR="00661A1D" w:rsidRPr="00DE4D63" w:rsidRDefault="00661A1D" w:rsidP="00C84294">
      <w:pPr>
        <w:pStyle w:val="Indent1"/>
        <w:numPr>
          <w:ilvl w:val="0"/>
          <w:numId w:val="3"/>
        </w:numPr>
        <w:rPr>
          <w:rFonts w:ascii="Arial" w:hAnsi="Arial" w:cs="Arial"/>
          <w:sz w:val="22"/>
          <w:szCs w:val="22"/>
        </w:rPr>
      </w:pPr>
      <w:r>
        <w:rPr>
          <w:rFonts w:ascii="Arial" w:hAnsi="Arial"/>
          <w:sz w:val="22"/>
        </w:rPr>
        <w:t xml:space="preserve">Declaraciones de </w:t>
      </w:r>
      <w:r w:rsidR="00B72EB0">
        <w:rPr>
          <w:rFonts w:ascii="Arial" w:hAnsi="Arial"/>
          <w:sz w:val="22"/>
        </w:rPr>
        <w:t>cometido</w:t>
      </w:r>
      <w:r>
        <w:rPr>
          <w:rFonts w:ascii="Arial" w:hAnsi="Arial"/>
          <w:sz w:val="22"/>
        </w:rPr>
        <w:t>, directrices de contratación y orientación del personal, políticas de asociación, elaboración de programas, mecanismos de transparencia y de recopilación de comentarios y protocolos de información que apoyen, contribuyan o estén relacionados con los objetivos de contextualización local y de acción impulsada a nivel local.</w:t>
      </w:r>
    </w:p>
    <w:p w14:paraId="199331CD" w14:textId="77777777" w:rsidR="009159EB" w:rsidRPr="009159EB" w:rsidRDefault="009159EB" w:rsidP="009159EB">
      <w:pPr>
        <w:pStyle w:val="Indent1"/>
        <w:ind w:left="720" w:firstLine="0"/>
        <w:rPr>
          <w:rFonts w:ascii="Arial" w:hAnsi="Arial" w:cs="Arial"/>
          <w:sz w:val="22"/>
          <w:szCs w:val="22"/>
        </w:rPr>
      </w:pPr>
    </w:p>
    <w:p w14:paraId="45F1B52C" w14:textId="35C9CB90" w:rsidR="00661A1D" w:rsidRPr="00917E9D" w:rsidRDefault="00661A1D" w:rsidP="00C84294">
      <w:pPr>
        <w:pStyle w:val="Indent1"/>
        <w:numPr>
          <w:ilvl w:val="0"/>
          <w:numId w:val="3"/>
        </w:numPr>
        <w:rPr>
          <w:rFonts w:ascii="Arial" w:hAnsi="Arial" w:cs="Arial"/>
          <w:sz w:val="22"/>
          <w:szCs w:val="22"/>
        </w:rPr>
      </w:pPr>
      <w:r>
        <w:rPr>
          <w:rFonts w:ascii="Arial" w:hAnsi="Arial"/>
          <w:sz w:val="22"/>
        </w:rPr>
        <w:t>Cantidad de asociaciones estratégicas o financiadas a largo plazo establecidas con agentes locales.</w:t>
      </w:r>
    </w:p>
    <w:p w14:paraId="50FBCF3A" w14:textId="77777777" w:rsidR="00917E9D" w:rsidRDefault="00917E9D" w:rsidP="00917E9D">
      <w:pPr>
        <w:pStyle w:val="ListParagraph"/>
        <w:rPr>
          <w:rFonts w:ascii="Arial" w:hAnsi="Arial" w:cs="Arial"/>
          <w:sz w:val="22"/>
          <w:szCs w:val="22"/>
        </w:rPr>
      </w:pPr>
    </w:p>
    <w:p w14:paraId="64C0343F" w14:textId="77777777" w:rsidR="00661A1D" w:rsidRPr="0052722F" w:rsidRDefault="00661A1D" w:rsidP="00C84294">
      <w:pPr>
        <w:pStyle w:val="Indent1"/>
        <w:numPr>
          <w:ilvl w:val="0"/>
          <w:numId w:val="3"/>
        </w:numPr>
        <w:rPr>
          <w:rFonts w:ascii="Arial" w:hAnsi="Arial" w:cs="Arial"/>
          <w:sz w:val="22"/>
          <w:szCs w:val="22"/>
        </w:rPr>
      </w:pPr>
      <w:r>
        <w:rPr>
          <w:rFonts w:ascii="Arial" w:hAnsi="Arial"/>
          <w:sz w:val="22"/>
        </w:rPr>
        <w:t>Cantidad de diálogos, consultas, análisis, reuniones de planificación, entre otros, en asociación con agentes locales.</w:t>
      </w:r>
    </w:p>
    <w:p w14:paraId="369F8146" w14:textId="77777777" w:rsidR="0052722F" w:rsidRDefault="0052722F" w:rsidP="0052722F">
      <w:pPr>
        <w:pStyle w:val="ListParagraph"/>
        <w:rPr>
          <w:rFonts w:ascii="Arial" w:hAnsi="Arial" w:cs="Arial"/>
          <w:sz w:val="22"/>
          <w:szCs w:val="22"/>
        </w:rPr>
      </w:pPr>
    </w:p>
    <w:p w14:paraId="1BF19271" w14:textId="77777777" w:rsidR="008713F4" w:rsidRPr="008713F4" w:rsidRDefault="00661A1D" w:rsidP="007B201B">
      <w:pPr>
        <w:pStyle w:val="Indent1"/>
        <w:numPr>
          <w:ilvl w:val="0"/>
          <w:numId w:val="3"/>
        </w:numPr>
        <w:rPr>
          <w:rFonts w:ascii="Arial" w:hAnsi="Arial" w:cs="Arial"/>
          <w:sz w:val="22"/>
          <w:szCs w:val="22"/>
        </w:rPr>
      </w:pPr>
      <w:r w:rsidRPr="008713F4">
        <w:rPr>
          <w:rFonts w:ascii="Arial" w:hAnsi="Arial"/>
          <w:sz w:val="22"/>
        </w:rPr>
        <w:t>Porcentaje de fondos desembolsados a los agentes locales y destinados a la acción impulsada a nivel local.</w:t>
      </w:r>
    </w:p>
    <w:p w14:paraId="1D8BAA35" w14:textId="77777777" w:rsidR="008713F4" w:rsidRDefault="008713F4" w:rsidP="008713F4">
      <w:pPr>
        <w:pStyle w:val="ListParagraph"/>
        <w:rPr>
          <w:rFonts w:ascii="Arial" w:hAnsi="Arial"/>
          <w:sz w:val="22"/>
        </w:rPr>
      </w:pPr>
    </w:p>
    <w:p w14:paraId="241E1947" w14:textId="77777777" w:rsidR="008713F4" w:rsidRDefault="00661A1D" w:rsidP="008713F4">
      <w:pPr>
        <w:pStyle w:val="Indent1"/>
        <w:numPr>
          <w:ilvl w:val="0"/>
          <w:numId w:val="3"/>
        </w:numPr>
        <w:rPr>
          <w:rFonts w:ascii="Arial" w:hAnsi="Arial" w:cs="Arial"/>
          <w:sz w:val="22"/>
          <w:szCs w:val="22"/>
        </w:rPr>
      </w:pPr>
      <w:r w:rsidRPr="008713F4">
        <w:rPr>
          <w:rFonts w:ascii="Arial" w:hAnsi="Arial"/>
          <w:sz w:val="22"/>
        </w:rPr>
        <w:t>Porcentaje de financiación para gastos generales y/o indirectos de los agentes locales.</w:t>
      </w:r>
    </w:p>
    <w:p w14:paraId="31BC7111" w14:textId="77777777" w:rsidR="008713F4" w:rsidRDefault="008713F4" w:rsidP="008713F4">
      <w:pPr>
        <w:pStyle w:val="ListParagraph"/>
        <w:rPr>
          <w:rFonts w:ascii="Arial" w:hAnsi="Arial"/>
          <w:sz w:val="22"/>
        </w:rPr>
      </w:pPr>
    </w:p>
    <w:p w14:paraId="4853F3EA" w14:textId="77777777" w:rsidR="008713F4" w:rsidRPr="008713F4" w:rsidRDefault="00661A1D" w:rsidP="000D7DC4">
      <w:pPr>
        <w:pStyle w:val="Indent1"/>
        <w:numPr>
          <w:ilvl w:val="0"/>
          <w:numId w:val="3"/>
        </w:numPr>
        <w:rPr>
          <w:rFonts w:ascii="Arial" w:hAnsi="Arial" w:cs="Arial"/>
          <w:sz w:val="22"/>
          <w:szCs w:val="22"/>
        </w:rPr>
      </w:pPr>
      <w:r w:rsidRPr="008713F4">
        <w:rPr>
          <w:rFonts w:ascii="Arial" w:hAnsi="Arial"/>
          <w:sz w:val="22"/>
        </w:rPr>
        <w:t>Cantidad y calidad de la inversión para el fortalecimiento de la capacidad de los agentes locales a largo plazo.</w:t>
      </w:r>
    </w:p>
    <w:p w14:paraId="57C1451A" w14:textId="77777777" w:rsidR="008713F4" w:rsidRDefault="008713F4" w:rsidP="008713F4">
      <w:pPr>
        <w:pStyle w:val="ListParagraph"/>
        <w:rPr>
          <w:rFonts w:ascii="Arial" w:hAnsi="Arial"/>
          <w:sz w:val="22"/>
        </w:rPr>
      </w:pPr>
    </w:p>
    <w:p w14:paraId="01B43BCC" w14:textId="277EB6F6" w:rsidR="008713F4" w:rsidRPr="008713F4" w:rsidRDefault="00661A1D" w:rsidP="003424F9">
      <w:pPr>
        <w:pStyle w:val="Indent1"/>
        <w:numPr>
          <w:ilvl w:val="0"/>
          <w:numId w:val="3"/>
        </w:numPr>
        <w:rPr>
          <w:rFonts w:ascii="Arial" w:hAnsi="Arial" w:cs="Arial"/>
          <w:sz w:val="22"/>
          <w:szCs w:val="22"/>
        </w:rPr>
      </w:pPr>
      <w:r w:rsidRPr="008713F4">
        <w:rPr>
          <w:rFonts w:ascii="Arial" w:hAnsi="Arial"/>
          <w:sz w:val="22"/>
        </w:rPr>
        <w:t xml:space="preserve">Cantidad, naturaleza y resultado de las </w:t>
      </w:r>
      <w:r w:rsidR="007167A8">
        <w:rPr>
          <w:rFonts w:ascii="Arial" w:hAnsi="Arial"/>
          <w:sz w:val="22"/>
        </w:rPr>
        <w:t xml:space="preserve">actividades de colaboración </w:t>
      </w:r>
      <w:r w:rsidRPr="008713F4">
        <w:rPr>
          <w:rFonts w:ascii="Arial" w:hAnsi="Arial"/>
          <w:sz w:val="22"/>
        </w:rPr>
        <w:t>relativas a la integración del enfoque de distribución del riesgo en las operaciones humanitarias.</w:t>
      </w:r>
    </w:p>
    <w:p w14:paraId="7A66AFC9" w14:textId="77777777" w:rsidR="008713F4" w:rsidRDefault="008713F4" w:rsidP="008713F4">
      <w:pPr>
        <w:pStyle w:val="ListParagraph"/>
        <w:rPr>
          <w:rFonts w:ascii="Arial" w:hAnsi="Arial"/>
          <w:sz w:val="22"/>
        </w:rPr>
      </w:pPr>
    </w:p>
    <w:p w14:paraId="7124CA62" w14:textId="77777777" w:rsidR="009056E5" w:rsidRPr="009056E5" w:rsidRDefault="00661A1D" w:rsidP="00137CEA">
      <w:pPr>
        <w:pStyle w:val="Indent1"/>
        <w:numPr>
          <w:ilvl w:val="0"/>
          <w:numId w:val="3"/>
        </w:numPr>
        <w:rPr>
          <w:rFonts w:ascii="Arial" w:hAnsi="Arial" w:cs="Arial"/>
          <w:sz w:val="22"/>
          <w:szCs w:val="22"/>
        </w:rPr>
      </w:pPr>
      <w:r w:rsidRPr="009056E5">
        <w:rPr>
          <w:rFonts w:ascii="Arial" w:hAnsi="Arial"/>
          <w:sz w:val="22"/>
        </w:rPr>
        <w:lastRenderedPageBreak/>
        <w:t>Cantidad de agentes locales representados en los comités de dirección de programas y/o proyectos, con participación fehaciente en la planificación y la adopción de decisiones.</w:t>
      </w:r>
    </w:p>
    <w:p w14:paraId="2B7502AC" w14:textId="77777777" w:rsidR="009056E5" w:rsidRDefault="009056E5" w:rsidP="009056E5">
      <w:pPr>
        <w:pStyle w:val="ListParagraph"/>
        <w:rPr>
          <w:rFonts w:ascii="Arial" w:hAnsi="Arial"/>
          <w:sz w:val="22"/>
        </w:rPr>
      </w:pPr>
    </w:p>
    <w:p w14:paraId="7D9F3DEC" w14:textId="77777777" w:rsidR="009056E5" w:rsidRPr="009056E5" w:rsidRDefault="00661A1D" w:rsidP="00335FC4">
      <w:pPr>
        <w:pStyle w:val="Indent1"/>
        <w:numPr>
          <w:ilvl w:val="0"/>
          <w:numId w:val="3"/>
        </w:numPr>
        <w:rPr>
          <w:rFonts w:ascii="Arial" w:hAnsi="Arial" w:cs="Arial"/>
          <w:sz w:val="22"/>
          <w:szCs w:val="22"/>
        </w:rPr>
      </w:pPr>
      <w:r w:rsidRPr="009056E5">
        <w:rPr>
          <w:rFonts w:ascii="Arial" w:hAnsi="Arial"/>
          <w:sz w:val="22"/>
        </w:rPr>
        <w:t>Redacción, adopción, revisión o actualización de la base jurídica de la Sociedad Nacional (ley, decreto u ordenanza) en consonancia con la ley modelo sobre el reconocimiento de las Sociedades Nacionales de la Cruz Roja o de la Media Luna Roja por parte del Gobierno, en consulta con la Sociedad Nacional.</w:t>
      </w:r>
    </w:p>
    <w:p w14:paraId="61177DB8" w14:textId="77777777" w:rsidR="009056E5" w:rsidRDefault="009056E5" w:rsidP="009056E5">
      <w:pPr>
        <w:pStyle w:val="ListParagraph"/>
        <w:rPr>
          <w:rFonts w:ascii="Arial" w:hAnsi="Arial"/>
          <w:sz w:val="22"/>
        </w:rPr>
      </w:pPr>
    </w:p>
    <w:p w14:paraId="0E08A961" w14:textId="77777777" w:rsidR="009056E5" w:rsidRPr="009056E5" w:rsidRDefault="00661A1D" w:rsidP="008C6539">
      <w:pPr>
        <w:pStyle w:val="Indent1"/>
        <w:numPr>
          <w:ilvl w:val="0"/>
          <w:numId w:val="3"/>
        </w:numPr>
        <w:rPr>
          <w:rFonts w:ascii="Arial" w:hAnsi="Arial" w:cs="Arial"/>
          <w:sz w:val="22"/>
          <w:szCs w:val="22"/>
        </w:rPr>
      </w:pPr>
      <w:r w:rsidRPr="009056E5">
        <w:rPr>
          <w:rFonts w:ascii="Arial" w:hAnsi="Arial"/>
          <w:sz w:val="22"/>
        </w:rPr>
        <w:t>Redacción, adopción, revisión o actualización de leyes, políticas y/o planes sectoriales pertinentes por parte del Gobierno, en consulta con la Sociedad Nacional, para el fortalecimiento de la función en calidad de auxiliar de los poderes públicos y el fomento de la labor humanitaria de la Sociedad Nacional en cumplimiento de dicha función.</w:t>
      </w:r>
    </w:p>
    <w:p w14:paraId="7D56B1BF" w14:textId="77777777" w:rsidR="009056E5" w:rsidRDefault="009056E5" w:rsidP="009056E5">
      <w:pPr>
        <w:pStyle w:val="ListParagraph"/>
        <w:rPr>
          <w:rFonts w:ascii="Arial" w:hAnsi="Arial"/>
          <w:sz w:val="22"/>
        </w:rPr>
      </w:pPr>
    </w:p>
    <w:p w14:paraId="03A571B1" w14:textId="7A50EFB3" w:rsidR="00661A1D" w:rsidRPr="009056E5" w:rsidRDefault="00661A1D" w:rsidP="008C6539">
      <w:pPr>
        <w:pStyle w:val="Indent1"/>
        <w:numPr>
          <w:ilvl w:val="0"/>
          <w:numId w:val="3"/>
        </w:numPr>
        <w:rPr>
          <w:rFonts w:ascii="Arial" w:hAnsi="Arial" w:cs="Arial"/>
          <w:sz w:val="22"/>
          <w:szCs w:val="22"/>
        </w:rPr>
      </w:pPr>
      <w:r w:rsidRPr="009056E5">
        <w:rPr>
          <w:rFonts w:ascii="Arial" w:hAnsi="Arial"/>
          <w:sz w:val="22"/>
        </w:rPr>
        <w:t>Cantidad de acuerdos previos a la situación de desastre y/o memorandos de entendimiento concertados entre un ministerio y/o un organismo gubernamental y la Sociedad Nacional, destinados al fortalecimiento de la función en calidad de auxiliar de los poderes públicos.</w:t>
      </w:r>
    </w:p>
    <w:p w14:paraId="7D074978" w14:textId="77777777" w:rsidR="00661A1D" w:rsidRPr="00DE4D63" w:rsidRDefault="00661A1D" w:rsidP="00DE4D63">
      <w:pPr>
        <w:pStyle w:val="Indent1"/>
        <w:rPr>
          <w:rFonts w:ascii="Arial" w:hAnsi="Arial" w:cs="Arial"/>
          <w:sz w:val="22"/>
          <w:szCs w:val="22"/>
        </w:rPr>
      </w:pPr>
    </w:p>
    <w:p w14:paraId="1B9A8D50" w14:textId="39F02BDB" w:rsidR="00661A1D" w:rsidRPr="00DE4D63" w:rsidRDefault="00661A1D" w:rsidP="00DE4D63">
      <w:pPr>
        <w:pStyle w:val="Indent1"/>
        <w:rPr>
          <w:rFonts w:ascii="Arial" w:hAnsi="Arial" w:cs="Arial"/>
          <w:b/>
          <w:bCs/>
          <w:sz w:val="22"/>
          <w:szCs w:val="22"/>
        </w:rPr>
      </w:pPr>
      <w:r>
        <w:rPr>
          <w:rFonts w:ascii="Arial" w:hAnsi="Arial"/>
          <w:b/>
          <w:sz w:val="22"/>
        </w:rPr>
        <w:t>Re</w:t>
      </w:r>
      <w:r w:rsidR="00E9256F">
        <w:rPr>
          <w:rFonts w:ascii="Arial" w:hAnsi="Arial"/>
          <w:b/>
          <w:sz w:val="22"/>
        </w:rPr>
        <w:t>percusiones relacionadas con re</w:t>
      </w:r>
      <w:r>
        <w:rPr>
          <w:rFonts w:ascii="Arial" w:hAnsi="Arial"/>
          <w:b/>
          <w:sz w:val="22"/>
        </w:rPr>
        <w:t xml:space="preserve">cursos </w:t>
      </w:r>
    </w:p>
    <w:p w14:paraId="132BEE56" w14:textId="77777777" w:rsidR="00661A1D" w:rsidRPr="00DE4D63" w:rsidRDefault="00661A1D" w:rsidP="00DE4D63">
      <w:pPr>
        <w:pStyle w:val="Indent1"/>
        <w:rPr>
          <w:rFonts w:ascii="Arial" w:hAnsi="Arial" w:cs="Arial"/>
          <w:b/>
          <w:bCs/>
          <w:sz w:val="22"/>
          <w:szCs w:val="22"/>
        </w:rPr>
      </w:pPr>
    </w:p>
    <w:p w14:paraId="17631C88" w14:textId="2A20A8F1" w:rsidR="00661A1D" w:rsidRPr="00DE4D63" w:rsidRDefault="00661A1D" w:rsidP="00DE4D63">
      <w:pPr>
        <w:pStyle w:val="Indent1"/>
        <w:ind w:left="0" w:firstLine="0"/>
        <w:rPr>
          <w:rFonts w:ascii="Arial" w:hAnsi="Arial" w:cs="Arial"/>
          <w:iCs/>
          <w:sz w:val="22"/>
          <w:szCs w:val="22"/>
        </w:rPr>
      </w:pPr>
      <w:bookmarkStart w:id="0" w:name="_Hlk6309021"/>
      <w:r>
        <w:rPr>
          <w:rFonts w:ascii="Arial" w:hAnsi="Arial"/>
          <w:sz w:val="22"/>
        </w:rPr>
        <w:t>Los Estados y/o las Sociedades Nacionales determinarán los recursos que podrían</w:t>
      </w:r>
      <w:r w:rsidR="00BD2B61">
        <w:rPr>
          <w:rFonts w:ascii="Arial" w:hAnsi="Arial"/>
          <w:sz w:val="22"/>
        </w:rPr>
        <w:t xml:space="preserve"> ser necesarios </w:t>
      </w:r>
      <w:r>
        <w:rPr>
          <w:rFonts w:ascii="Arial" w:hAnsi="Arial"/>
          <w:sz w:val="22"/>
        </w:rPr>
        <w:t xml:space="preserve">para </w:t>
      </w:r>
      <w:r w:rsidR="00C429B9">
        <w:rPr>
          <w:rFonts w:ascii="Arial" w:hAnsi="Arial"/>
          <w:sz w:val="22"/>
        </w:rPr>
        <w:t>el cumplimiento de</w:t>
      </w:r>
      <w:r>
        <w:rPr>
          <w:rFonts w:ascii="Arial" w:hAnsi="Arial"/>
          <w:sz w:val="22"/>
        </w:rPr>
        <w:t xml:space="preserve"> esta promesa</w:t>
      </w:r>
      <w:bookmarkEnd w:id="0"/>
      <w:r>
        <w:rPr>
          <w:rFonts w:ascii="Arial" w:hAnsi="Arial"/>
          <w:sz w:val="22"/>
        </w:rPr>
        <w:t xml:space="preserve"> sobre la base de los objetivos y las </w:t>
      </w:r>
      <w:r w:rsidR="00C429B9">
        <w:rPr>
          <w:rFonts w:ascii="Arial" w:hAnsi="Arial"/>
          <w:sz w:val="22"/>
        </w:rPr>
        <w:t>medidas qu</w:t>
      </w:r>
      <w:r>
        <w:rPr>
          <w:rFonts w:ascii="Arial" w:hAnsi="Arial"/>
          <w:sz w:val="22"/>
        </w:rPr>
        <w:t>e decidan emprender en su contexto específico.</w:t>
      </w:r>
    </w:p>
    <w:p w14:paraId="504A453A" w14:textId="77777777" w:rsidR="00661A1D" w:rsidRPr="00DE4D63" w:rsidRDefault="00661A1D" w:rsidP="00DE4D63">
      <w:pPr>
        <w:pStyle w:val="Indent1"/>
        <w:rPr>
          <w:rFonts w:ascii="Arial" w:hAnsi="Arial" w:cs="Arial"/>
          <w:sz w:val="22"/>
          <w:szCs w:val="22"/>
        </w:rPr>
      </w:pPr>
    </w:p>
    <w:p w14:paraId="4C4EA846" w14:textId="77777777" w:rsidR="00A64C79" w:rsidRPr="00EF6B03" w:rsidRDefault="00A64C79" w:rsidP="00DE4D63">
      <w:pPr>
        <w:pStyle w:val="Indent1"/>
        <w:ind w:left="0" w:firstLine="0"/>
        <w:rPr>
          <w:rFonts w:cs="Arial"/>
          <w:i/>
          <w:color w:val="2F5496"/>
          <w:szCs w:val="22"/>
        </w:rPr>
      </w:pPr>
    </w:p>
    <w:sectPr w:rsidR="00A64C79" w:rsidRPr="00EF6B03" w:rsidSect="00661A1D">
      <w:headerReference w:type="even" r:id="rId14"/>
      <w:headerReference w:type="default" r:id="rId15"/>
      <w:footerReference w:type="even" r:id="rId16"/>
      <w:footerReference w:type="default" r:id="rId17"/>
      <w:footerReference w:type="first" r:id="rId18"/>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7AF65" w14:textId="77777777" w:rsidR="000922C5" w:rsidRPr="00DE4D63" w:rsidRDefault="000922C5">
      <w:r w:rsidRPr="00DE4D63">
        <w:separator/>
      </w:r>
    </w:p>
  </w:endnote>
  <w:endnote w:type="continuationSeparator" w:id="0">
    <w:p w14:paraId="488C104B" w14:textId="77777777" w:rsidR="000922C5" w:rsidRPr="00DE4D63" w:rsidRDefault="000922C5">
      <w:r w:rsidRPr="00DE4D63">
        <w:continuationSeparator/>
      </w:r>
    </w:p>
  </w:endnote>
  <w:endnote w:type="continuationNotice" w:id="1">
    <w:p w14:paraId="56BD893D" w14:textId="77777777" w:rsidR="00C84294" w:rsidRDefault="00C8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D88D" w14:textId="4D51568B" w:rsidR="009C675B" w:rsidRPr="00DE4D63" w:rsidRDefault="009D3CF7">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44720044" wp14:editId="578127E0">
              <wp:simplePos x="635" y="635"/>
              <wp:positionH relativeFrom="page">
                <wp:align>left</wp:align>
              </wp:positionH>
              <wp:positionV relativeFrom="page">
                <wp:align>bottom</wp:align>
              </wp:positionV>
              <wp:extent cx="659765" cy="345440"/>
              <wp:effectExtent l="0" t="0" r="6985" b="0"/>
              <wp:wrapNone/>
              <wp:docPr id="658872494" name="Cuadro de texto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6D375F37" w14:textId="004CA311" w:rsidR="009D3CF7" w:rsidRPr="009D3CF7" w:rsidRDefault="009D3CF7" w:rsidP="009D3CF7">
                          <w:pPr>
                            <w:rPr>
                              <w:rFonts w:ascii="Calibri" w:eastAsia="Calibri" w:hAnsi="Calibri" w:cs="Calibri"/>
                              <w:noProof/>
                              <w:color w:val="000000"/>
                            </w:rPr>
                          </w:pPr>
                          <w:r w:rsidRPr="009D3CF7">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720044" id="_x0000_t202" coordsize="21600,21600" o:spt="202" path="m,l,21600r21600,l21600,xe">
              <v:stroke joinstyle="miter"/>
              <v:path gradientshapeok="t" o:connecttype="rect"/>
            </v:shapetype>
            <v:shape id="Cuadro de texto 2" o:spid="_x0000_s1026" type="#_x0000_t202" alt="Internal" style="position:absolute;margin-left:0;margin-top:0;width:51.9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" filled="f" stroked="f">
              <v:textbox style="mso-fit-shape-to-text:t" inset="20pt,0,0,15pt">
                <w:txbxContent>
                  <w:p w14:paraId="6D375F37" w14:textId="004CA311" w:rsidR="009D3CF7" w:rsidRPr="009D3CF7" w:rsidRDefault="009D3CF7" w:rsidP="009D3CF7">
                    <w:pPr>
                      <w:rPr>
                        <w:rFonts w:ascii="Calibri" w:eastAsia="Calibri" w:hAnsi="Calibri" w:cs="Calibri"/>
                        <w:noProof/>
                        <w:color w:val="000000"/>
                      </w:rPr>
                    </w:pPr>
                    <w:r w:rsidRPr="009D3CF7">
                      <w:rPr>
                        <w:rFonts w:ascii="Calibri" w:eastAsia="Calibri" w:hAnsi="Calibri" w:cs="Calibri"/>
                        <w:noProof/>
                        <w:color w:val="000000"/>
                      </w:rPr>
                      <w:t>Internal</w:t>
                    </w:r>
                  </w:p>
                </w:txbxContent>
              </v:textbox>
              <w10:wrap anchorx="page" anchory="page"/>
            </v:shape>
          </w:pict>
        </mc:Fallback>
      </mc:AlternateContent>
    </w:r>
    <w:r w:rsidR="009C675B" w:rsidRPr="00DE4D63">
      <w:rPr>
        <w:rStyle w:val="PageNumber"/>
      </w:rPr>
      <w:fldChar w:fldCharType="begin"/>
    </w:r>
    <w:r w:rsidR="009C675B" w:rsidRPr="00DE4D63">
      <w:rPr>
        <w:rStyle w:val="PageNumber"/>
      </w:rPr>
      <w:instrText xml:space="preserve">PAGE  </w:instrText>
    </w:r>
    <w:r w:rsidR="009C675B" w:rsidRPr="00DE4D63">
      <w:rPr>
        <w:rStyle w:val="PageNumber"/>
      </w:rPr>
      <w:fldChar w:fldCharType="end"/>
    </w:r>
  </w:p>
  <w:p w14:paraId="6158730F" w14:textId="77777777" w:rsidR="009C675B" w:rsidRPr="00DE4D63" w:rsidRDefault="009C675B">
    <w:pPr>
      <w:pStyle w:val="Footer"/>
      <w:ind w:right="360"/>
      <w:rPr>
        <w:lang w:val="en-CA"/>
      </w:rPr>
    </w:pPr>
  </w:p>
  <w:p w14:paraId="1942FE7D" w14:textId="77777777" w:rsidR="009C675B" w:rsidRPr="00DE4D63" w:rsidRDefault="009C67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FAE9" w14:textId="07D558D6" w:rsidR="009C675B" w:rsidRPr="00DE4D63" w:rsidRDefault="009D3CF7">
    <w:pPr>
      <w:pStyle w:val="Footer"/>
      <w:ind w:right="360"/>
      <w:rPr>
        <w:lang w:val="en-CA"/>
      </w:rPr>
    </w:pPr>
    <w:r>
      <w:rPr>
        <w:noProof/>
        <w:lang w:val="en-CA"/>
      </w:rPr>
      <mc:AlternateContent>
        <mc:Choice Requires="wps">
          <w:drawing>
            <wp:anchor distT="0" distB="0" distL="0" distR="0" simplePos="0" relativeHeight="251658242" behindDoc="0" locked="0" layoutInCell="1" allowOverlap="1" wp14:anchorId="1EBDB175" wp14:editId="5E5B8709">
              <wp:simplePos x="914400" y="10096500"/>
              <wp:positionH relativeFrom="page">
                <wp:align>left</wp:align>
              </wp:positionH>
              <wp:positionV relativeFrom="page">
                <wp:align>bottom</wp:align>
              </wp:positionV>
              <wp:extent cx="659765" cy="345440"/>
              <wp:effectExtent l="0" t="0" r="6985" b="0"/>
              <wp:wrapNone/>
              <wp:docPr id="1700156525" name="Cuadro de texto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3B107DDC" w14:textId="02B93C7D" w:rsidR="009D3CF7" w:rsidRPr="009D3CF7" w:rsidRDefault="009D3CF7" w:rsidP="009D3CF7">
                          <w:pPr>
                            <w:rPr>
                              <w:rFonts w:ascii="Calibri" w:eastAsia="Calibri" w:hAnsi="Calibri" w:cs="Calibri"/>
                              <w:noProof/>
                              <w:color w:val="000000"/>
                            </w:rPr>
                          </w:pPr>
                          <w:r w:rsidRPr="009D3CF7">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BDB175" id="_x0000_t202" coordsize="21600,21600" o:spt="202" path="m,l,21600r21600,l21600,xe">
              <v:stroke joinstyle="miter"/>
              <v:path gradientshapeok="t" o:connecttype="rect"/>
            </v:shapetype>
            <v:shape id="Cuadro de texto 3" o:spid="_x0000_s1027" type="#_x0000_t202" alt="Internal" style="position:absolute;margin-left:0;margin-top:0;width:51.9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" filled="f" stroked="f">
              <v:textbox style="mso-fit-shape-to-text:t" inset="20pt,0,0,15pt">
                <w:txbxContent>
                  <w:p w14:paraId="3B107DDC" w14:textId="02B93C7D" w:rsidR="009D3CF7" w:rsidRPr="009D3CF7" w:rsidRDefault="009D3CF7" w:rsidP="009D3CF7">
                    <w:pPr>
                      <w:rPr>
                        <w:rFonts w:ascii="Calibri" w:eastAsia="Calibri" w:hAnsi="Calibri" w:cs="Calibri"/>
                        <w:noProof/>
                        <w:color w:val="000000"/>
                      </w:rPr>
                    </w:pPr>
                    <w:r w:rsidRPr="009D3CF7">
                      <w:rPr>
                        <w:rFonts w:ascii="Calibri" w:eastAsia="Calibri" w:hAnsi="Calibri" w:cs="Calibri"/>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D0F8" w14:textId="42058737" w:rsidR="009D3CF7" w:rsidRDefault="009D3CF7">
    <w:pPr>
      <w:pStyle w:val="Footer"/>
    </w:pPr>
    <w:r>
      <w:rPr>
        <w:noProof/>
      </w:rPr>
      <mc:AlternateContent>
        <mc:Choice Requires="wps">
          <w:drawing>
            <wp:anchor distT="0" distB="0" distL="0" distR="0" simplePos="0" relativeHeight="251658240" behindDoc="0" locked="0" layoutInCell="1" allowOverlap="1" wp14:anchorId="692110AF" wp14:editId="07FA9945">
              <wp:simplePos x="635" y="635"/>
              <wp:positionH relativeFrom="page">
                <wp:align>left</wp:align>
              </wp:positionH>
              <wp:positionV relativeFrom="page">
                <wp:align>bottom</wp:align>
              </wp:positionV>
              <wp:extent cx="659765" cy="345440"/>
              <wp:effectExtent l="0" t="0" r="6985" b="0"/>
              <wp:wrapNone/>
              <wp:docPr id="963024775" name="Cuadro de texto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33F928A2" w14:textId="7898A2D8" w:rsidR="009D3CF7" w:rsidRPr="009D3CF7" w:rsidRDefault="009D3CF7" w:rsidP="009D3CF7">
                          <w:pPr>
                            <w:rPr>
                              <w:rFonts w:ascii="Calibri" w:eastAsia="Calibri" w:hAnsi="Calibri" w:cs="Calibri"/>
                              <w:noProof/>
                              <w:color w:val="000000"/>
                            </w:rPr>
                          </w:pPr>
                          <w:r w:rsidRPr="009D3CF7">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2110AF" id="_x0000_t202" coordsize="21600,21600" o:spt="202" path="m,l,21600r21600,l21600,xe">
              <v:stroke joinstyle="miter"/>
              <v:path gradientshapeok="t" o:connecttype="rect"/>
            </v:shapetype>
            <v:shape id="Cuadro de texto 1" o:spid="_x0000_s1028" type="#_x0000_t202" alt="Internal" style="position:absolute;margin-left:0;margin-top:0;width:51.9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LmFA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CWdDNPvoDrhUg56vr3l6wZbb5gPT8whwbgH&#10;ijY84iEVtCWFs0VJDe7XW/6Yj7hjlJIWBVNSg4qmRP0wyMdkNs3zKLB0Q8MNxi4Z45t8FuPmoO8A&#10;tTjGZ2F5MmNyUIMpHegX1PQqdsMQMxx7lnQ3mHehly++CS5Wq5SEWrIsbMzW8lg6YhYBfe5emLNn&#10;1APS9QCDpFjxCvw+N/7p7eoQkILETMS3R/MMO+owEXZ+M1Hof95T1vVlL38D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ArjrLm&#10;FAIAACEEAAAOAAAAAAAAAAAAAAAAAC4CAABkcnMvZTJvRG9jLnhtbFBLAQItABQABgAIAAAAIQD0&#10;mUOn2gAAAAQBAAAPAAAAAAAAAAAAAAAAAG4EAABkcnMvZG93bnJldi54bWxQSwUGAAAAAAQABADz&#10;AAAAdQUAAAAA&#10;" filled="f" stroked="f">
              <v:textbox style="mso-fit-shape-to-text:t" inset="20pt,0,0,15pt">
                <w:txbxContent>
                  <w:p w14:paraId="33F928A2" w14:textId="7898A2D8" w:rsidR="009D3CF7" w:rsidRPr="009D3CF7" w:rsidRDefault="009D3CF7" w:rsidP="009D3CF7">
                    <w:pPr>
                      <w:rPr>
                        <w:rFonts w:ascii="Calibri" w:eastAsia="Calibri" w:hAnsi="Calibri" w:cs="Calibri"/>
                        <w:noProof/>
                        <w:color w:val="000000"/>
                      </w:rPr>
                    </w:pPr>
                    <w:r w:rsidRPr="009D3CF7">
                      <w:rPr>
                        <w:rFonts w:ascii="Calibri" w:eastAsia="Calibri" w:hAnsi="Calibri" w:cs="Calibri"/>
                        <w:noProof/>
                        <w:color w:val="00000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F6D8F" w14:textId="77777777" w:rsidR="000922C5" w:rsidRPr="00DE4D63" w:rsidRDefault="000922C5">
      <w:r w:rsidRPr="00DE4D63">
        <w:separator/>
      </w:r>
    </w:p>
  </w:footnote>
  <w:footnote w:type="continuationSeparator" w:id="0">
    <w:p w14:paraId="53366A87" w14:textId="77777777" w:rsidR="000922C5" w:rsidRPr="00DE4D63" w:rsidRDefault="000922C5">
      <w:r w:rsidRPr="00DE4D63">
        <w:continuationSeparator/>
      </w:r>
    </w:p>
  </w:footnote>
  <w:footnote w:type="continuationNotice" w:id="1">
    <w:p w14:paraId="7763FB07" w14:textId="77777777" w:rsidR="00C84294" w:rsidRDefault="00C84294"/>
  </w:footnote>
  <w:footnote w:id="2">
    <w:p w14:paraId="124624AF" w14:textId="5B7EBC2B" w:rsidR="00661A1D" w:rsidRPr="00E103C5" w:rsidRDefault="00661A1D" w:rsidP="00DE4D63">
      <w:pPr>
        <w:pStyle w:val="FootnoteText"/>
        <w:jc w:val="both"/>
        <w:rPr>
          <w:rFonts w:ascii="Arial" w:hAnsi="Arial" w:cs="Arial"/>
          <w:sz w:val="16"/>
          <w:szCs w:val="16"/>
        </w:rPr>
      </w:pPr>
      <w:r>
        <w:rPr>
          <w:rStyle w:val="FootnoteReference"/>
          <w:rFonts w:ascii="Arial" w:hAnsi="Arial" w:cs="Arial"/>
        </w:rPr>
        <w:footnoteRef/>
      </w:r>
      <w:r w:rsidRPr="00E103C5">
        <w:rPr>
          <w:rFonts w:ascii="Arial" w:hAnsi="Arial"/>
          <w:sz w:val="16"/>
          <w:szCs w:val="16"/>
        </w:rPr>
        <w:t xml:space="preserve"> El </w:t>
      </w:r>
      <w:r w:rsidR="00E103C5">
        <w:rPr>
          <w:rFonts w:ascii="Arial" w:hAnsi="Arial"/>
          <w:sz w:val="16"/>
          <w:szCs w:val="16"/>
        </w:rPr>
        <w:t>‘g</w:t>
      </w:r>
      <w:r w:rsidRPr="00E103C5">
        <w:rPr>
          <w:rFonts w:ascii="Arial" w:hAnsi="Arial"/>
          <w:sz w:val="16"/>
          <w:szCs w:val="16"/>
        </w:rPr>
        <w:t>ran pacto</w:t>
      </w:r>
      <w:r w:rsidR="00617F16">
        <w:rPr>
          <w:rFonts w:ascii="Arial" w:hAnsi="Arial"/>
          <w:sz w:val="16"/>
          <w:szCs w:val="16"/>
        </w:rPr>
        <w:t>’</w:t>
      </w:r>
      <w:r w:rsidRPr="00E103C5">
        <w:rPr>
          <w:rFonts w:ascii="Arial" w:hAnsi="Arial"/>
          <w:sz w:val="16"/>
          <w:szCs w:val="16"/>
        </w:rPr>
        <w:t xml:space="preserve"> es un conjunto de compromisos asumidos en la Cumbre Humanitaria Mundial de 2016 por un grupo de grandes donantes y organismos internacionales de asistencia “a fin de que la acción humanitaria sustentada en principios sea lo más local posible y lo más internacional que sea necesario”. Conforme a lo acordado por los firmantes del </w:t>
      </w:r>
      <w:r w:rsidR="00617F16">
        <w:rPr>
          <w:rFonts w:ascii="Arial" w:hAnsi="Arial"/>
          <w:sz w:val="16"/>
          <w:szCs w:val="16"/>
        </w:rPr>
        <w:t>‘g</w:t>
      </w:r>
      <w:r w:rsidRPr="00E103C5">
        <w:rPr>
          <w:rFonts w:ascii="Arial" w:hAnsi="Arial"/>
          <w:sz w:val="16"/>
          <w:szCs w:val="16"/>
        </w:rPr>
        <w:t>ran pacto</w:t>
      </w:r>
      <w:r w:rsidR="00617F16">
        <w:rPr>
          <w:rFonts w:ascii="Arial" w:hAnsi="Arial"/>
          <w:sz w:val="16"/>
          <w:szCs w:val="16"/>
        </w:rPr>
        <w:t>’</w:t>
      </w:r>
      <w:r w:rsidRPr="00E103C5">
        <w:rPr>
          <w:rFonts w:ascii="Arial" w:hAnsi="Arial"/>
          <w:sz w:val="16"/>
          <w:szCs w:val="16"/>
        </w:rPr>
        <w:t>, los agentes locales y nacionales son definid</w:t>
      </w:r>
      <w:r w:rsidR="00656157">
        <w:rPr>
          <w:rFonts w:ascii="Arial" w:hAnsi="Arial"/>
          <w:sz w:val="16"/>
          <w:szCs w:val="16"/>
        </w:rPr>
        <w:t>o</w:t>
      </w:r>
      <w:r w:rsidRPr="00E103C5">
        <w:rPr>
          <w:rFonts w:ascii="Arial" w:hAnsi="Arial"/>
          <w:sz w:val="16"/>
          <w:szCs w:val="16"/>
        </w:rPr>
        <w:t>s como: 1) agentes no estatales locales y nacionales (organizaciones dedicadas al socorro que tienen su sede y</w:t>
      </w:r>
      <w:r w:rsidR="00656157">
        <w:rPr>
          <w:rFonts w:ascii="Arial" w:hAnsi="Arial"/>
          <w:sz w:val="16"/>
          <w:szCs w:val="16"/>
        </w:rPr>
        <w:t xml:space="preserve"> realizan actividades </w:t>
      </w:r>
      <w:r w:rsidRPr="00E103C5">
        <w:rPr>
          <w:rFonts w:ascii="Arial" w:hAnsi="Arial"/>
          <w:sz w:val="16"/>
          <w:szCs w:val="16"/>
        </w:rPr>
        <w:t xml:space="preserve">en el mismo país receptor de la asistencia y que no están afiliadas a una organización no gubernamental (ONG) internacional; 2) agentes estatales nacionales y subnacionales (autoridades estatales del país afectado receptor de la asistencia que intervienen en las actividades de socorro, ya sea a nivel local o nacional). </w:t>
      </w:r>
      <w:hyperlink r:id="rId1" w:history="1">
        <w:r w:rsidR="00092993" w:rsidRPr="00D8393A">
          <w:rPr>
            <w:rStyle w:val="Hyperlink"/>
            <w:rFonts w:ascii="Arial" w:hAnsi="Arial"/>
            <w:sz w:val="16"/>
            <w:szCs w:val="16"/>
          </w:rPr>
          <w:t>https://gblocalisation.ifrc.org/wp-content/uploads/2018/06/categories_for_tracking_direct_as_possible_funding_to_local_and_national_actors_003.pdf</w:t>
        </w:r>
      </w:hyperlink>
      <w:r w:rsidR="00092993">
        <w:rPr>
          <w:rStyle w:val="Hyperlink"/>
          <w:rFonts w:ascii="Arial" w:hAnsi="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B6B8" w14:textId="77777777" w:rsidR="009C675B" w:rsidRPr="00DE4D63" w:rsidRDefault="009C675B" w:rsidP="009C675B">
    <w:pPr>
      <w:pStyle w:val="Header"/>
      <w:framePr w:wrap="around" w:vAnchor="text" w:hAnchor="margin" w:xAlign="right" w:y="1"/>
      <w:rPr>
        <w:rStyle w:val="PageNumber"/>
      </w:rPr>
    </w:pPr>
    <w:r w:rsidRPr="00DE4D63">
      <w:rPr>
        <w:rStyle w:val="PageNumber"/>
      </w:rPr>
      <w:fldChar w:fldCharType="begin"/>
    </w:r>
    <w:r w:rsidRPr="00DE4D63">
      <w:rPr>
        <w:rStyle w:val="PageNumber"/>
      </w:rPr>
      <w:instrText xml:space="preserve">PAGE  </w:instrText>
    </w:r>
    <w:r w:rsidRPr="00DE4D63">
      <w:rPr>
        <w:rStyle w:val="PageNumber"/>
      </w:rPr>
      <w:fldChar w:fldCharType="end"/>
    </w:r>
  </w:p>
  <w:p w14:paraId="17AB75EE" w14:textId="77777777" w:rsidR="009C675B" w:rsidRPr="00DE4D63" w:rsidRDefault="009C675B" w:rsidP="009C675B">
    <w:pPr>
      <w:pStyle w:val="Header"/>
      <w:ind w:right="360"/>
    </w:pPr>
  </w:p>
  <w:p w14:paraId="27D7F112" w14:textId="77777777" w:rsidR="009C675B" w:rsidRPr="00DE4D63" w:rsidRDefault="009C67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E0DA" w14:textId="77777777" w:rsidR="009C675B" w:rsidRPr="00DE4D63" w:rsidRDefault="009C675B" w:rsidP="009C675B">
    <w:pPr>
      <w:pStyle w:val="Header"/>
      <w:framePr w:wrap="around" w:vAnchor="text" w:hAnchor="margin" w:xAlign="right" w:y="1"/>
      <w:rPr>
        <w:rStyle w:val="PageNumber"/>
      </w:rPr>
    </w:pPr>
    <w:r w:rsidRPr="00DE4D63">
      <w:rPr>
        <w:rStyle w:val="PageNumber"/>
      </w:rPr>
      <w:fldChar w:fldCharType="begin"/>
    </w:r>
    <w:r w:rsidRPr="00DE4D63">
      <w:rPr>
        <w:rStyle w:val="PageNumber"/>
      </w:rPr>
      <w:instrText xml:space="preserve">PAGE  </w:instrText>
    </w:r>
    <w:r w:rsidRPr="00DE4D63">
      <w:rPr>
        <w:rStyle w:val="PageNumber"/>
      </w:rPr>
      <w:fldChar w:fldCharType="separate"/>
    </w:r>
    <w:r w:rsidR="00716AFE" w:rsidRPr="00DE4D63">
      <w:rPr>
        <w:rStyle w:val="PageNumber"/>
      </w:rPr>
      <w:t>2</w:t>
    </w:r>
    <w:r w:rsidRPr="00DE4D63">
      <w:rPr>
        <w:rStyle w:val="PageNumber"/>
      </w:rPr>
      <w:fldChar w:fldCharType="end"/>
    </w:r>
  </w:p>
  <w:p w14:paraId="6183E75B" w14:textId="77777777" w:rsidR="009C675B" w:rsidRPr="00DE4D63" w:rsidRDefault="009C67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7EC"/>
    <w:multiLevelType w:val="hybridMultilevel"/>
    <w:tmpl w:val="513CEE4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324C5788"/>
    <w:multiLevelType w:val="multilevel"/>
    <w:tmpl w:val="A3D806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74B7AEB"/>
    <w:multiLevelType w:val="hybridMultilevel"/>
    <w:tmpl w:val="B99E9968"/>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6E1D1581"/>
    <w:multiLevelType w:val="hybridMultilevel"/>
    <w:tmpl w:val="578AB2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542547911">
    <w:abstractNumId w:val="1"/>
  </w:num>
  <w:num w:numId="2" w16cid:durableId="976448794">
    <w:abstractNumId w:val="0"/>
  </w:num>
  <w:num w:numId="3" w16cid:durableId="1170410385">
    <w:abstractNumId w:val="3"/>
  </w:num>
  <w:num w:numId="4" w16cid:durableId="3568516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89"/>
    <w:rsid w:val="000154AA"/>
    <w:rsid w:val="000159DB"/>
    <w:rsid w:val="00015C6A"/>
    <w:rsid w:val="00027AD3"/>
    <w:rsid w:val="00031F31"/>
    <w:rsid w:val="000372F3"/>
    <w:rsid w:val="00042071"/>
    <w:rsid w:val="00064E71"/>
    <w:rsid w:val="00082A53"/>
    <w:rsid w:val="000922C5"/>
    <w:rsid w:val="00092993"/>
    <w:rsid w:val="000A0AC6"/>
    <w:rsid w:val="000B082A"/>
    <w:rsid w:val="000B570F"/>
    <w:rsid w:val="000B5981"/>
    <w:rsid w:val="000E3205"/>
    <w:rsid w:val="00102DDA"/>
    <w:rsid w:val="001054E0"/>
    <w:rsid w:val="001070E5"/>
    <w:rsid w:val="00120AF5"/>
    <w:rsid w:val="00135B70"/>
    <w:rsid w:val="0014607D"/>
    <w:rsid w:val="00156578"/>
    <w:rsid w:val="0016433A"/>
    <w:rsid w:val="00167DD2"/>
    <w:rsid w:val="00171276"/>
    <w:rsid w:val="0017245A"/>
    <w:rsid w:val="001819BB"/>
    <w:rsid w:val="00186CDE"/>
    <w:rsid w:val="001908E8"/>
    <w:rsid w:val="00197AC0"/>
    <w:rsid w:val="001D3840"/>
    <w:rsid w:val="001E5E01"/>
    <w:rsid w:val="00223F45"/>
    <w:rsid w:val="00240F0B"/>
    <w:rsid w:val="00263F8E"/>
    <w:rsid w:val="0026425E"/>
    <w:rsid w:val="0026579E"/>
    <w:rsid w:val="00283931"/>
    <w:rsid w:val="002B4A8B"/>
    <w:rsid w:val="002C108C"/>
    <w:rsid w:val="002E3824"/>
    <w:rsid w:val="002F178A"/>
    <w:rsid w:val="00303B7C"/>
    <w:rsid w:val="003049D3"/>
    <w:rsid w:val="00320EDB"/>
    <w:rsid w:val="003434D3"/>
    <w:rsid w:val="00344645"/>
    <w:rsid w:val="00345872"/>
    <w:rsid w:val="0036028A"/>
    <w:rsid w:val="00362B72"/>
    <w:rsid w:val="0036339F"/>
    <w:rsid w:val="00363904"/>
    <w:rsid w:val="003738A1"/>
    <w:rsid w:val="00384052"/>
    <w:rsid w:val="00385638"/>
    <w:rsid w:val="00390B17"/>
    <w:rsid w:val="003937BD"/>
    <w:rsid w:val="003A1C81"/>
    <w:rsid w:val="003B0D56"/>
    <w:rsid w:val="003C789A"/>
    <w:rsid w:val="003E7EEE"/>
    <w:rsid w:val="00402EEC"/>
    <w:rsid w:val="004163AF"/>
    <w:rsid w:val="00423233"/>
    <w:rsid w:val="00425F60"/>
    <w:rsid w:val="004345C3"/>
    <w:rsid w:val="004569CA"/>
    <w:rsid w:val="00460714"/>
    <w:rsid w:val="00466D9B"/>
    <w:rsid w:val="0049429A"/>
    <w:rsid w:val="004A0C45"/>
    <w:rsid w:val="004C26D6"/>
    <w:rsid w:val="004C3BED"/>
    <w:rsid w:val="005138C3"/>
    <w:rsid w:val="0051604E"/>
    <w:rsid w:val="00522F83"/>
    <w:rsid w:val="00526C42"/>
    <w:rsid w:val="0052722F"/>
    <w:rsid w:val="00527B62"/>
    <w:rsid w:val="00547A29"/>
    <w:rsid w:val="005510BE"/>
    <w:rsid w:val="00580F5C"/>
    <w:rsid w:val="00587899"/>
    <w:rsid w:val="00587DD0"/>
    <w:rsid w:val="00590A89"/>
    <w:rsid w:val="0059280C"/>
    <w:rsid w:val="005E048B"/>
    <w:rsid w:val="005E77C3"/>
    <w:rsid w:val="006055CA"/>
    <w:rsid w:val="00606DDF"/>
    <w:rsid w:val="00617F16"/>
    <w:rsid w:val="00623E54"/>
    <w:rsid w:val="00627A57"/>
    <w:rsid w:val="0063755C"/>
    <w:rsid w:val="00656157"/>
    <w:rsid w:val="00661A1D"/>
    <w:rsid w:val="00662594"/>
    <w:rsid w:val="006734DD"/>
    <w:rsid w:val="00673B46"/>
    <w:rsid w:val="00676FE6"/>
    <w:rsid w:val="00680C9B"/>
    <w:rsid w:val="006928CE"/>
    <w:rsid w:val="006A649C"/>
    <w:rsid w:val="006A7C80"/>
    <w:rsid w:val="006D3D87"/>
    <w:rsid w:val="006D4A1A"/>
    <w:rsid w:val="006D5A1B"/>
    <w:rsid w:val="007167A8"/>
    <w:rsid w:val="00716AFE"/>
    <w:rsid w:val="00734675"/>
    <w:rsid w:val="007618C5"/>
    <w:rsid w:val="00766A1F"/>
    <w:rsid w:val="00771536"/>
    <w:rsid w:val="0078454C"/>
    <w:rsid w:val="007A3AB2"/>
    <w:rsid w:val="007B3DA4"/>
    <w:rsid w:val="007C2E3C"/>
    <w:rsid w:val="007D3305"/>
    <w:rsid w:val="007E0085"/>
    <w:rsid w:val="0081525C"/>
    <w:rsid w:val="00825A79"/>
    <w:rsid w:val="0083027D"/>
    <w:rsid w:val="00837007"/>
    <w:rsid w:val="00847BB2"/>
    <w:rsid w:val="00850666"/>
    <w:rsid w:val="00862943"/>
    <w:rsid w:val="008713F4"/>
    <w:rsid w:val="0087788E"/>
    <w:rsid w:val="008B0729"/>
    <w:rsid w:val="008D7A6F"/>
    <w:rsid w:val="008E4331"/>
    <w:rsid w:val="008E5896"/>
    <w:rsid w:val="008F32D9"/>
    <w:rsid w:val="009056E5"/>
    <w:rsid w:val="0091148E"/>
    <w:rsid w:val="0091486A"/>
    <w:rsid w:val="009159EB"/>
    <w:rsid w:val="00917265"/>
    <w:rsid w:val="00917E9D"/>
    <w:rsid w:val="00927BCD"/>
    <w:rsid w:val="00934ECA"/>
    <w:rsid w:val="00951046"/>
    <w:rsid w:val="0097492E"/>
    <w:rsid w:val="00976F66"/>
    <w:rsid w:val="00980B9C"/>
    <w:rsid w:val="00987F61"/>
    <w:rsid w:val="0099051A"/>
    <w:rsid w:val="00990937"/>
    <w:rsid w:val="009945D1"/>
    <w:rsid w:val="009A7948"/>
    <w:rsid w:val="009C675B"/>
    <w:rsid w:val="009D3CF7"/>
    <w:rsid w:val="009F66A4"/>
    <w:rsid w:val="00A20E19"/>
    <w:rsid w:val="00A35DE9"/>
    <w:rsid w:val="00A61258"/>
    <w:rsid w:val="00A64C79"/>
    <w:rsid w:val="00A7525D"/>
    <w:rsid w:val="00A81199"/>
    <w:rsid w:val="00AA0748"/>
    <w:rsid w:val="00AB629A"/>
    <w:rsid w:val="00AE1CCE"/>
    <w:rsid w:val="00B00B52"/>
    <w:rsid w:val="00B0747C"/>
    <w:rsid w:val="00B1495F"/>
    <w:rsid w:val="00B247A0"/>
    <w:rsid w:val="00B41EAB"/>
    <w:rsid w:val="00B552E9"/>
    <w:rsid w:val="00B65D9D"/>
    <w:rsid w:val="00B66322"/>
    <w:rsid w:val="00B704DB"/>
    <w:rsid w:val="00B7106A"/>
    <w:rsid w:val="00B72EB0"/>
    <w:rsid w:val="00B76689"/>
    <w:rsid w:val="00B768AD"/>
    <w:rsid w:val="00B7711D"/>
    <w:rsid w:val="00B94B1E"/>
    <w:rsid w:val="00BA4C9D"/>
    <w:rsid w:val="00BC21B9"/>
    <w:rsid w:val="00BC31A0"/>
    <w:rsid w:val="00BD2B61"/>
    <w:rsid w:val="00BD6C3D"/>
    <w:rsid w:val="00C01283"/>
    <w:rsid w:val="00C21227"/>
    <w:rsid w:val="00C40E90"/>
    <w:rsid w:val="00C429B9"/>
    <w:rsid w:val="00C552C1"/>
    <w:rsid w:val="00C63DF6"/>
    <w:rsid w:val="00C82491"/>
    <w:rsid w:val="00C84294"/>
    <w:rsid w:val="00C86E4B"/>
    <w:rsid w:val="00C900E1"/>
    <w:rsid w:val="00C91E65"/>
    <w:rsid w:val="00CA01F8"/>
    <w:rsid w:val="00CD4A34"/>
    <w:rsid w:val="00CE689C"/>
    <w:rsid w:val="00CF12F7"/>
    <w:rsid w:val="00D01888"/>
    <w:rsid w:val="00D11936"/>
    <w:rsid w:val="00D21C34"/>
    <w:rsid w:val="00D51317"/>
    <w:rsid w:val="00D64A62"/>
    <w:rsid w:val="00D6717B"/>
    <w:rsid w:val="00D674DC"/>
    <w:rsid w:val="00D75089"/>
    <w:rsid w:val="00D87898"/>
    <w:rsid w:val="00D90FBB"/>
    <w:rsid w:val="00DB3B7D"/>
    <w:rsid w:val="00DE4D63"/>
    <w:rsid w:val="00DE55F4"/>
    <w:rsid w:val="00DF711D"/>
    <w:rsid w:val="00E103C5"/>
    <w:rsid w:val="00E22A4E"/>
    <w:rsid w:val="00E36C28"/>
    <w:rsid w:val="00E42C1C"/>
    <w:rsid w:val="00E509FA"/>
    <w:rsid w:val="00E56688"/>
    <w:rsid w:val="00E60FBE"/>
    <w:rsid w:val="00E633C2"/>
    <w:rsid w:val="00E65DA0"/>
    <w:rsid w:val="00E7493F"/>
    <w:rsid w:val="00E76E2E"/>
    <w:rsid w:val="00E907E7"/>
    <w:rsid w:val="00E9256F"/>
    <w:rsid w:val="00EA6AC7"/>
    <w:rsid w:val="00ED0217"/>
    <w:rsid w:val="00ED3722"/>
    <w:rsid w:val="00EE548F"/>
    <w:rsid w:val="00EF6B03"/>
    <w:rsid w:val="00F0766C"/>
    <w:rsid w:val="00F3433A"/>
    <w:rsid w:val="00F37EB0"/>
    <w:rsid w:val="00F518C9"/>
    <w:rsid w:val="00F775A7"/>
    <w:rsid w:val="00F91F3F"/>
    <w:rsid w:val="00F93E15"/>
    <w:rsid w:val="00FE34E5"/>
    <w:rsid w:val="00FE5AC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0DADC"/>
  <w15:chartTrackingRefBased/>
  <w15:docId w15:val="{3FF83893-2E4C-4F4B-B882-2249018F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rPr>
  </w:style>
  <w:style w:type="paragraph" w:styleId="Heading2">
    <w:name w:val="heading 2"/>
    <w:basedOn w:val="Normal"/>
    <w:next w:val="Normal"/>
    <w:link w:val="Heading2Char"/>
    <w:uiPriority w:val="9"/>
    <w:semiHidden/>
    <w:unhideWhenUsed/>
    <w:qFormat/>
    <w:rsid w:val="00EF6B03"/>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uiPriority w:val="99"/>
    <w:semiHidden/>
    <w:rsid w:val="00B06BA5"/>
    <w:rPr>
      <w:sz w:val="16"/>
      <w:szCs w:val="16"/>
    </w:rPr>
  </w:style>
  <w:style w:type="paragraph" w:styleId="CommentText">
    <w:name w:val="annotation text"/>
    <w:basedOn w:val="Normal"/>
    <w:link w:val="CommentTextChar"/>
    <w:uiPriority w:val="99"/>
    <w:rsid w:val="00B06BA5"/>
  </w:style>
  <w:style w:type="paragraph" w:styleId="CommentSubject">
    <w:name w:val="annotation subject"/>
    <w:basedOn w:val="CommentText"/>
    <w:next w:val="CommentText"/>
    <w:semiHidden/>
    <w:rsid w:val="00B06BA5"/>
    <w:rPr>
      <w:b/>
      <w:bCs/>
    </w:rPr>
  </w:style>
  <w:style w:type="paragraph" w:customStyle="1" w:styleId="Listamedia2-nfasis21">
    <w:name w:val="Lista media 2 - Énfasis 21"/>
    <w:hidden/>
    <w:uiPriority w:val="99"/>
    <w:semiHidden/>
    <w:rsid w:val="00B71B55"/>
    <w:rPr>
      <w:lang w:eastAsia="en-US"/>
    </w:rPr>
  </w:style>
  <w:style w:type="character" w:customStyle="1" w:styleId="FooterChar">
    <w:name w:val="Footer Char"/>
    <w:link w:val="Footer"/>
    <w:uiPriority w:val="99"/>
    <w:rsid w:val="00A42B6D"/>
    <w:rPr>
      <w:lang w:eastAsia="en-US"/>
    </w:rPr>
  </w:style>
  <w:style w:type="paragraph" w:customStyle="1" w:styleId="Cuadrculamedia1-nfasis21">
    <w:name w:val="Cuadrícula media 1 - Énfasis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customStyle="1" w:styleId="Cuadrculamedia21">
    <w:name w:val="Cuadrícula media 21"/>
    <w:uiPriority w:val="1"/>
    <w:qFormat/>
    <w:rsid w:val="00DF2BB7"/>
    <w:pPr>
      <w:overflowPunct w:val="0"/>
      <w:autoSpaceDE w:val="0"/>
      <w:autoSpaceDN w:val="0"/>
      <w:adjustRightInd w:val="0"/>
      <w:textAlignment w:val="baseline"/>
    </w:pPr>
    <w:rPr>
      <w:lang w:eastAsia="en-US"/>
    </w:rPr>
  </w:style>
  <w:style w:type="paragraph" w:customStyle="1" w:styleId="Sombreadovistoso-nfasis11">
    <w:name w:val="Sombreado vistoso - Énfasis 11"/>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basedOn w:val="Normal"/>
    <w:uiPriority w:val="1"/>
    <w:qFormat/>
    <w:rsid w:val="00D674DC"/>
    <w:pPr>
      <w:overflowPunct/>
      <w:autoSpaceDE/>
      <w:autoSpaceDN/>
      <w:adjustRightInd/>
      <w:ind w:left="720"/>
      <w:contextualSpacing/>
      <w:textAlignment w:val="auto"/>
    </w:pPr>
    <w:rPr>
      <w:rFonts w:eastAsia="SimSun"/>
      <w:sz w:val="24"/>
      <w:szCs w:val="24"/>
      <w:lang w:eastAsia="zh-CN"/>
    </w:rPr>
  </w:style>
  <w:style w:type="paragraph" w:styleId="Revision">
    <w:name w:val="Revision"/>
    <w:hidden/>
    <w:uiPriority w:val="99"/>
    <w:semiHidden/>
    <w:rsid w:val="00B552E9"/>
    <w:rPr>
      <w:lang w:eastAsia="en-US"/>
    </w:rPr>
  </w:style>
  <w:style w:type="character" w:customStyle="1" w:styleId="CommentTextChar">
    <w:name w:val="Comment Text Char"/>
    <w:link w:val="CommentText"/>
    <w:uiPriority w:val="99"/>
    <w:rsid w:val="0083027D"/>
    <w:rPr>
      <w:lang w:val="es-ES" w:eastAsia="en-US"/>
    </w:rPr>
  </w:style>
  <w:style w:type="paragraph" w:styleId="FootnoteText">
    <w:name w:val="footnote text"/>
    <w:basedOn w:val="Normal"/>
    <w:link w:val="FootnoteTextChar"/>
    <w:uiPriority w:val="99"/>
    <w:unhideWhenUsed/>
    <w:rsid w:val="00662594"/>
  </w:style>
  <w:style w:type="character" w:customStyle="1" w:styleId="FootnoteTextChar">
    <w:name w:val="Footnote Text Char"/>
    <w:link w:val="FootnoteText"/>
    <w:uiPriority w:val="99"/>
    <w:rsid w:val="00662594"/>
    <w:rPr>
      <w:lang w:val="es-ES" w:eastAsia="en-US"/>
    </w:rPr>
  </w:style>
  <w:style w:type="character" w:styleId="FootnoteReference">
    <w:name w:val="footnote reference"/>
    <w:uiPriority w:val="99"/>
    <w:semiHidden/>
    <w:unhideWhenUsed/>
    <w:rsid w:val="00662594"/>
    <w:rPr>
      <w:vertAlign w:val="superscript"/>
    </w:rPr>
  </w:style>
  <w:style w:type="character" w:customStyle="1" w:styleId="Heading2Char">
    <w:name w:val="Heading 2 Char"/>
    <w:link w:val="Heading2"/>
    <w:uiPriority w:val="9"/>
    <w:semiHidden/>
    <w:rsid w:val="00EF6B03"/>
    <w:rPr>
      <w:rFonts w:ascii="Aptos Display" w:eastAsia="Times New Roman" w:hAnsi="Aptos Display" w:cs="Times New Roman"/>
      <w:b/>
      <w:bCs/>
      <w:i/>
      <w:iCs/>
      <w:sz w:val="28"/>
      <w:szCs w:val="28"/>
      <w:lang w:val="es-ES" w:eastAsia="en-US"/>
    </w:rPr>
  </w:style>
  <w:style w:type="character" w:styleId="UnresolvedMention">
    <w:name w:val="Unresolved Mention"/>
    <w:uiPriority w:val="99"/>
    <w:semiHidden/>
    <w:unhideWhenUsed/>
    <w:rsid w:val="0058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3651">
      <w:bodyDiv w:val="1"/>
      <w:marLeft w:val="0"/>
      <w:marRight w:val="0"/>
      <w:marTop w:val="0"/>
      <w:marBottom w:val="0"/>
      <w:divBdr>
        <w:top w:val="none" w:sz="0" w:space="0" w:color="auto"/>
        <w:left w:val="none" w:sz="0" w:space="0" w:color="auto"/>
        <w:bottom w:val="none" w:sz="0" w:space="0" w:color="auto"/>
        <w:right w:val="none" w:sz="0" w:space="0" w:color="auto"/>
      </w:divBdr>
    </w:div>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509175408">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678234861">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818956068">
      <w:bodyDiv w:val="1"/>
      <w:marLeft w:val="0"/>
      <w:marRight w:val="0"/>
      <w:marTop w:val="0"/>
      <w:marBottom w:val="0"/>
      <w:divBdr>
        <w:top w:val="none" w:sz="0" w:space="0" w:color="auto"/>
        <w:left w:val="none" w:sz="0" w:space="0" w:color="auto"/>
        <w:bottom w:val="none" w:sz="0" w:space="0" w:color="auto"/>
        <w:right w:val="none" w:sz="0" w:space="0" w:color="auto"/>
      </w:divBdr>
    </w:div>
    <w:div w:id="862520772">
      <w:bodyDiv w:val="1"/>
      <w:marLeft w:val="0"/>
      <w:marRight w:val="0"/>
      <w:marTop w:val="0"/>
      <w:marBottom w:val="0"/>
      <w:divBdr>
        <w:top w:val="none" w:sz="0" w:space="0" w:color="auto"/>
        <w:left w:val="none" w:sz="0" w:space="0" w:color="auto"/>
        <w:bottom w:val="none" w:sz="0" w:space="0" w:color="auto"/>
        <w:right w:val="none" w:sz="0" w:space="0" w:color="auto"/>
      </w:divBdr>
    </w:div>
    <w:div w:id="870803271">
      <w:bodyDiv w:val="1"/>
      <w:marLeft w:val="0"/>
      <w:marRight w:val="0"/>
      <w:marTop w:val="0"/>
      <w:marBottom w:val="0"/>
      <w:divBdr>
        <w:top w:val="none" w:sz="0" w:space="0" w:color="auto"/>
        <w:left w:val="none" w:sz="0" w:space="0" w:color="auto"/>
        <w:bottom w:val="none" w:sz="0" w:space="0" w:color="auto"/>
        <w:right w:val="none" w:sz="0" w:space="0" w:color="auto"/>
      </w:divBdr>
    </w:div>
    <w:div w:id="910846331">
      <w:bodyDiv w:val="1"/>
      <w:marLeft w:val="0"/>
      <w:marRight w:val="0"/>
      <w:marTop w:val="0"/>
      <w:marBottom w:val="0"/>
      <w:divBdr>
        <w:top w:val="none" w:sz="0" w:space="0" w:color="auto"/>
        <w:left w:val="none" w:sz="0" w:space="0" w:color="auto"/>
        <w:bottom w:val="none" w:sz="0" w:space="0" w:color="auto"/>
        <w:right w:val="none" w:sz="0" w:space="0" w:color="auto"/>
      </w:divBdr>
    </w:div>
    <w:div w:id="1030958843">
      <w:bodyDiv w:val="1"/>
      <w:marLeft w:val="0"/>
      <w:marRight w:val="0"/>
      <w:marTop w:val="0"/>
      <w:marBottom w:val="0"/>
      <w:divBdr>
        <w:top w:val="none" w:sz="0" w:space="0" w:color="auto"/>
        <w:left w:val="none" w:sz="0" w:space="0" w:color="auto"/>
        <w:bottom w:val="none" w:sz="0" w:space="0" w:color="auto"/>
        <w:right w:val="none" w:sz="0" w:space="0" w:color="auto"/>
      </w:divBdr>
    </w:div>
    <w:div w:id="1111439850">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 w:id="20859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ragencystandingcommittee.org/sites/default/files/migrated/2022-08/Outcome%20Paper%20Towards%20Co-ownership%20-%20Caucus%20on%20Intermediaries%20-%20August%202022.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blocalisation.ifrc.org/wp-content/uploads/2018/06/categories_for_tracking_direct_as_possible_funding_to_local_and_national_actors_00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9" ma:contentTypeDescription="Create a new document." ma:contentTypeScope="" ma:versionID="eda952e8b0f689489c8f5d01e5429ab1">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213a3780c5acef1357286f2d085a202c"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e9d52c-0e59-4906-b725-6ee576ebff1d">
      <Terms xmlns="http://schemas.microsoft.com/office/infopath/2007/PartnerControls"/>
    </lcf76f155ced4ddcb4097134ff3c332f>
    <TaxCatchAll xmlns="26988bcc-216d-4c68-a0cd-417358c81203" xsi:nil="true"/>
    <RequestID xmlns="6be9d52c-0e59-4906-b725-6ee576ebff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84C95-5E34-423A-83FC-38B677CD0C0F}">
  <ds:schemaRefs>
    <ds:schemaRef ds:uri="http://schemas.openxmlformats.org/officeDocument/2006/bibliography"/>
  </ds:schemaRefs>
</ds:datastoreItem>
</file>

<file path=customXml/itemProps2.xml><?xml version="1.0" encoding="utf-8"?>
<ds:datastoreItem xmlns:ds="http://schemas.openxmlformats.org/officeDocument/2006/customXml" ds:itemID="{5A6DF9AF-EA57-46AC-862E-F00D4C83EED8}">
  <ds:schemaRefs>
    <ds:schemaRef ds:uri="http://schemas.microsoft.com/office/2006/metadata/longProperties"/>
  </ds:schemaRefs>
</ds:datastoreItem>
</file>

<file path=customXml/itemProps3.xml><?xml version="1.0" encoding="utf-8"?>
<ds:datastoreItem xmlns:ds="http://schemas.openxmlformats.org/officeDocument/2006/customXml" ds:itemID="{93E5E07B-B3D3-421B-99F1-0B1C0A138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11BAE-B106-4E91-B2D1-18D2E51FEAE9}">
  <ds:schemaRefs>
    <ds:schemaRef ds:uri="http://purl.org/dc/terms/"/>
    <ds:schemaRef ds:uri="6be9d52c-0e59-4906-b725-6ee576ebff1d"/>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26988bcc-216d-4c68-a0cd-417358c8120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D4C034D-5A43-4BA0-B17B-962146266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10714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International Conference of the Red Cross and Red Crescent</vt:lpstr>
    </vt:vector>
  </TitlesOfParts>
  <Company>ICRC</Company>
  <LinksUpToDate>false</LinksUpToDate>
  <CharactersWithSpaces>12568</CharactersWithSpaces>
  <SharedDoc>false</SharedDoc>
  <HLinks>
    <vt:vector size="12" baseType="variant">
      <vt:variant>
        <vt:i4>5373976</vt:i4>
      </vt:variant>
      <vt:variant>
        <vt:i4>0</vt:i4>
      </vt:variant>
      <vt:variant>
        <vt:i4>0</vt:i4>
      </vt:variant>
      <vt:variant>
        <vt:i4>5</vt:i4>
      </vt:variant>
      <vt:variant>
        <vt:lpwstr>https://interagencystandingcommittee.org/sites/default/files/migrated/2022-08/Outcome Paper Towards Co-ownership - Caucus on Intermediaries - August 2022.pdf</vt:lpwstr>
      </vt:variant>
      <vt:variant>
        <vt:lpwstr/>
      </vt:variant>
      <vt:variant>
        <vt:i4>7864382</vt:i4>
      </vt:variant>
      <vt:variant>
        <vt:i4>0</vt:i4>
      </vt:variant>
      <vt:variant>
        <vt:i4>0</vt:i4>
      </vt:variant>
      <vt:variant>
        <vt:i4>5</vt:i4>
      </vt:variant>
      <vt:variant>
        <vt:lpwstr>https://gblocalisation.ifrc.org/wp-content/uploads/2018/06/categories_for_tracking_direct_as_possible_funding_to_local_and_national_actors_003.pdf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Eva Zanardi</cp:lastModifiedBy>
  <cp:revision>2</cp:revision>
  <cp:lastPrinted>2024-10-18T19:38:00Z</cp:lastPrinted>
  <dcterms:created xsi:type="dcterms:W3CDTF">2025-06-10T08:25:00Z</dcterms:created>
  <dcterms:modified xsi:type="dcterms:W3CDTF">2025-06-10T08:25:00Z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ICRC-432-5014</vt:lpwstr>
  </property>
  <property fmtid="{D5CDD505-2E9C-101B-9397-08002B2CF9AE}" pid="3" name="_dlc_DocIdItemGuid">
    <vt:lpwstr>0ea76a63-9077-42c0-a696-2fbe85f59335</vt:lpwstr>
  </property>
  <property fmtid="{D5CDD505-2E9C-101B-9397-08002B2CF9AE}" pid="4" name="_dlc_DocIdUrl">
    <vt:lpwstr>https://teams.ext.icrc.org/projects/codic/_layouts/DocIdRedir.aspx?ID=ICRC-432-5014, ICRC-432-5014</vt:lpwstr>
  </property>
  <property fmtid="{D5CDD505-2E9C-101B-9397-08002B2CF9AE}" pid="5" name="ICRCBizFuncTaxHTField0">
    <vt:lpwstr/>
  </property>
  <property fmtid="{D5CDD505-2E9C-101B-9397-08002B2CF9AE}" pid="6" name="ICRCProgramTaxHTField0">
    <vt:lpwstr/>
  </property>
  <property fmtid="{D5CDD505-2E9C-101B-9397-08002B2CF9AE}" pid="7" name="ICRCDocConfidentialityTaxHTField0">
    <vt:lpwstr/>
  </property>
  <property fmtid="{D5CDD505-2E9C-101B-9397-08002B2CF9AE}" pid="8" name="IconOverlay">
    <vt:lpwstr/>
  </property>
  <property fmtid="{D5CDD505-2E9C-101B-9397-08002B2CF9AE}" pid="9" name="ICRCOUTaxHTField0">
    <vt:lpwstr/>
  </property>
  <property fmtid="{D5CDD505-2E9C-101B-9397-08002B2CF9AE}" pid="10" name="ICRCDocTypeTaxHTField0">
    <vt:lpwstr/>
  </property>
  <property fmtid="{D5CDD505-2E9C-101B-9397-08002B2CF9AE}" pid="11" name="ICRCTargetPopTaxHTField0">
    <vt:lpwstr/>
  </property>
  <property fmtid="{D5CDD505-2E9C-101B-9397-08002B2CF9AE}" pid="12" name="ICRCTopicsTaxHTField0">
    <vt:lpwstr/>
  </property>
  <property fmtid="{D5CDD505-2E9C-101B-9397-08002B2CF9AE}" pid="13" name="ICRCGOTaxHTField0">
    <vt:lpwstr/>
  </property>
  <property fmtid="{D5CDD505-2E9C-101B-9397-08002B2CF9AE}" pid="14" name="ICRCCountryTaxHTField0">
    <vt:lpwstr/>
  </property>
  <property fmtid="{D5CDD505-2E9C-101B-9397-08002B2CF9AE}" pid="15" name="ContentTypeId">
    <vt:lpwstr>0x010100847EBD2B1C90D1449AB303A16AF0852D</vt:lpwstr>
  </property>
  <property fmtid="{D5CDD505-2E9C-101B-9397-08002B2CF9AE}" pid="16" name="MediaServiceImageTags">
    <vt:lpwstr/>
  </property>
  <property fmtid="{D5CDD505-2E9C-101B-9397-08002B2CF9AE}" pid="17" name="ClassificationContentMarkingFooterShapeIds">
    <vt:lpwstr>39669787,274598ae,6556546d</vt:lpwstr>
  </property>
  <property fmtid="{D5CDD505-2E9C-101B-9397-08002B2CF9AE}" pid="18" name="ClassificationContentMarkingFooterFontProps">
    <vt:lpwstr>#000000,10,Calibri</vt:lpwstr>
  </property>
  <property fmtid="{D5CDD505-2E9C-101B-9397-08002B2CF9AE}" pid="19" name="ClassificationContentMarkingFooterText">
    <vt:lpwstr>Internal</vt:lpwstr>
  </property>
  <property fmtid="{D5CDD505-2E9C-101B-9397-08002B2CF9AE}" pid="20" name="MSIP_Label_6627b15a-80ec-4ef7-8353-f32e3c89bf3e_Enabled">
    <vt:lpwstr>true</vt:lpwstr>
  </property>
  <property fmtid="{D5CDD505-2E9C-101B-9397-08002B2CF9AE}" pid="21" name="MSIP_Label_6627b15a-80ec-4ef7-8353-f32e3c89bf3e_SetDate">
    <vt:lpwstr>2024-10-29T09:49:25Z</vt:lpwstr>
  </property>
  <property fmtid="{D5CDD505-2E9C-101B-9397-08002B2CF9AE}" pid="22" name="MSIP_Label_6627b15a-80ec-4ef7-8353-f32e3c89bf3e_Method">
    <vt:lpwstr>Privileged</vt:lpwstr>
  </property>
  <property fmtid="{D5CDD505-2E9C-101B-9397-08002B2CF9AE}" pid="23" name="MSIP_Label_6627b15a-80ec-4ef7-8353-f32e3c89bf3e_Name">
    <vt:lpwstr>IFRC Internal</vt:lpwstr>
  </property>
  <property fmtid="{D5CDD505-2E9C-101B-9397-08002B2CF9AE}" pid="24" name="MSIP_Label_6627b15a-80ec-4ef7-8353-f32e3c89bf3e_SiteId">
    <vt:lpwstr>a2b53be5-734e-4e6c-ab0d-d184f60fd917</vt:lpwstr>
  </property>
  <property fmtid="{D5CDD505-2E9C-101B-9397-08002B2CF9AE}" pid="25" name="MSIP_Label_6627b15a-80ec-4ef7-8353-f32e3c89bf3e_ActionId">
    <vt:lpwstr>fe374a7b-3160-4eba-b671-3b090d09f18f</vt:lpwstr>
  </property>
  <property fmtid="{D5CDD505-2E9C-101B-9397-08002B2CF9AE}" pid="26" name="MSIP_Label_6627b15a-80ec-4ef7-8353-f32e3c89bf3e_ContentBits">
    <vt:lpwstr>2</vt:lpwstr>
  </property>
</Properties>
</file>