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DE7A" w14:textId="77777777" w:rsidR="00177278" w:rsidRPr="007214FE" w:rsidRDefault="00177278" w:rsidP="00177278">
      <w:pPr>
        <w:pStyle w:val="BodySingle"/>
        <w:bidi/>
        <w:spacing w:after="240"/>
        <w:jc w:val="center"/>
        <w:rPr>
          <w:rFonts w:ascii="Arabic Typesetting" w:hAnsi="Arabic Typesetting" w:cs="Arabic Typesetting"/>
          <w:sz w:val="36"/>
          <w:szCs w:val="36"/>
          <w:lang w:val="en-US"/>
        </w:rPr>
      </w:pPr>
      <w:r w:rsidRPr="00591AC5">
        <w:rPr>
          <w:rFonts w:ascii="Arabic Typesetting" w:eastAsia="Calibri" w:hAnsi="Arabic Typesetting" w:cs="Arabic Typesetting"/>
          <w:noProof/>
          <w:sz w:val="32"/>
          <w:szCs w:val="32"/>
          <w:rtl/>
        </w:rPr>
        <w:drawing>
          <wp:inline distT="0" distB="0" distL="0" distR="0" wp14:anchorId="290AA77E" wp14:editId="18C856F5">
            <wp:extent cx="3025318" cy="1067681"/>
            <wp:effectExtent l="0" t="0" r="3810" b="0"/>
            <wp:docPr id="124906511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65111" name="Picture 1" descr="A close-up of a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5445" cy="107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3ABE3" w14:textId="37BAB453" w:rsidR="00095E4A" w:rsidRPr="00752EAC" w:rsidRDefault="00095E4A" w:rsidP="00B13490">
      <w:pPr>
        <w:pStyle w:val="DefaultText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shd w:val="clear" w:color="auto" w:fill="1A3283"/>
        <w:bidi/>
        <w:jc w:val="center"/>
        <w:rPr>
          <w:rFonts w:ascii="Arabic Typesetting" w:hAnsi="Arabic Typesetting" w:cs="Arabic Typesetting"/>
          <w:bCs/>
          <w:sz w:val="44"/>
          <w:szCs w:val="44"/>
          <w:rtl/>
        </w:rPr>
      </w:pPr>
      <w:r w:rsidRPr="00752EAC">
        <w:rPr>
          <w:rFonts w:ascii="Arabic Typesetting" w:hAnsi="Arabic Typesetting" w:cs="Arabic Typesetting"/>
          <w:bCs/>
          <w:sz w:val="44"/>
          <w:szCs w:val="44"/>
          <w:rtl/>
        </w:rPr>
        <w:t>تعهد نموذجي</w:t>
      </w:r>
    </w:p>
    <w:p w14:paraId="4934F599" w14:textId="653D4101" w:rsidR="004B2FC6" w:rsidRPr="00752EAC" w:rsidRDefault="004B2FC6" w:rsidP="00177278">
      <w:pPr>
        <w:bidi/>
        <w:spacing w:before="120" w:after="120" w:line="240" w:lineRule="auto"/>
        <w:jc w:val="both"/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lang w:val="en-US"/>
        </w:rPr>
      </w:pPr>
      <w:r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t xml:space="preserve">عنوان التعهد: </w:t>
      </w:r>
      <w:r w:rsidRPr="00752EAC"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rtl/>
          <w:lang w:val="en-GB"/>
        </w:rPr>
        <w:t xml:space="preserve">تمكين القيادة والقدرة والتنفيذ في مجال العمل الإنساني القائم على المبادئ على الصعيد المحلي </w:t>
      </w:r>
      <w:r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t>وبناء</w:t>
      </w:r>
      <w:r w:rsidRPr="00752EAC"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rtl/>
          <w:lang w:val="en-GB"/>
        </w:rPr>
        <w:t xml:space="preserve"> القدرة على الصمود</w:t>
      </w:r>
    </w:p>
    <w:p w14:paraId="3AC54F21" w14:textId="3D791FC9" w:rsidR="00FF7342" w:rsidRPr="00752EAC" w:rsidRDefault="004B2FC6" w:rsidP="00B13490">
      <w:pPr>
        <w:bidi/>
        <w:spacing w:after="120" w:line="240" w:lineRule="auto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rtl/>
          <w:lang w:val="en-GB"/>
        </w:rPr>
        <w:t>مقترح من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: الاتحاد الدولي لجمعيات الصليب الأحمر والهلال الأحمر</w:t>
      </w:r>
      <w:r w:rsidR="00FF7342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(الاتحاد الدولي)</w:t>
      </w:r>
    </w:p>
    <w:p w14:paraId="27381098" w14:textId="026C20D8" w:rsidR="004B2FC6" w:rsidRPr="00752EAC" w:rsidRDefault="000E53F9" w:rsidP="00B13490">
      <w:pPr>
        <w:bidi/>
        <w:spacing w:after="120" w:line="240" w:lineRule="auto"/>
        <w:jc w:val="both"/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t>أ</w:t>
      </w:r>
      <w:r w:rsidR="00F05CFF"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t>لف -</w:t>
      </w:r>
      <w:r w:rsidRPr="00752EAC"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rtl/>
          <w:lang w:val="en-GB"/>
        </w:rPr>
        <w:tab/>
      </w:r>
      <w:r w:rsidR="004C79E8"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t>المعلومات الأساسية والهدف المنشود من هذه الوثيقة</w:t>
      </w:r>
    </w:p>
    <w:p w14:paraId="66302474" w14:textId="3ED20A78" w:rsidR="00FF7342" w:rsidRPr="00752EAC" w:rsidRDefault="004B2FC6" w:rsidP="00B13490">
      <w:pPr>
        <w:bidi/>
        <w:spacing w:after="120" w:line="240" w:lineRule="auto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أتاحت الصفقة الكبرى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vertAlign w:val="superscript"/>
          <w:lang w:val="en-GB"/>
        </w:rPr>
        <w:footnoteReference w:id="1"/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تعميم توطين العمل الإنساني، وهو نهج تأخذ به المنظومة </w:t>
      </w:r>
      <w:r w:rsidR="00A864D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الإنسانية</w:t>
      </w:r>
      <w:r w:rsidR="007025F9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الدولية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الرسمية </w:t>
      </w:r>
      <w:r w:rsidR="000B4F7E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تعزيز الاستثمار الدولي </w:t>
      </w:r>
      <w:r w:rsidR="005131DC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في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="00F512E0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دور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الجهات الفاعلة المحلية</w:t>
      </w:r>
      <w:r w:rsidR="005131DC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، وتعزيز </w:t>
      </w:r>
      <w:r w:rsidR="00F512E0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احترامه</w:t>
      </w:r>
      <w:r w:rsidR="005131DC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على الصعيد الدولي،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="000B4F7E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لغرض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خفض التكاليف المرتبطة بالعمل الإنساني </w:t>
      </w:r>
      <w:r w:rsidR="00754AC0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وتوسيع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نطاق</w:t>
      </w:r>
      <w:r w:rsidR="006146A5" w:rsidRPr="00752EAC">
        <w:rPr>
          <w:rFonts w:ascii="Arabic Typesetting" w:eastAsiaTheme="minorEastAsia" w:hAnsi="Arabic Typesetting" w:cs="Arabic Typesetting" w:hint="eastAsia"/>
          <w:kern w:val="0"/>
          <w:sz w:val="36"/>
          <w:szCs w:val="36"/>
          <w:rtl/>
          <w:lang w:val="en-GB"/>
        </w:rPr>
        <w:t> 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انتشاره.</w:t>
      </w:r>
    </w:p>
    <w:p w14:paraId="5DD687FD" w14:textId="4E977067" w:rsidR="00F512E0" w:rsidRPr="00752EAC" w:rsidRDefault="004B2FC6" w:rsidP="00B13490">
      <w:pPr>
        <w:bidi/>
        <w:spacing w:after="120" w:line="240" w:lineRule="auto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بيد أن التقدم </w:t>
      </w:r>
      <w:r w:rsidR="00F512E0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المحرز على الصعيد العالمي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في تنفيذ الالتزامات المتعلقة "بتوطين العمل الإنساني" في إطار الصفقة الكبرى والمبادرات المماثلة في مجالَي التنمية والتكيف مع آثار تغير المناخ لا يزال بطيئا</w:t>
      </w:r>
      <w:r w:rsidR="00F512E0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="004C79E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 w:bidi="ar-EG"/>
        </w:rPr>
        <w:t xml:space="preserve">في صفوف الجهات الفاعلة المحلية </w:t>
      </w:r>
      <w:r w:rsidR="004C79E8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–</w:t>
      </w:r>
      <w:r w:rsidR="004C79E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سواء على مستوى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التمويل ودعم تعزيز القدرات </w:t>
      </w:r>
      <w:r w:rsidR="004C79E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أو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القيادة واتخاذ القرارات</w:t>
      </w:r>
      <w:r w:rsidR="004C79E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.</w:t>
      </w:r>
    </w:p>
    <w:p w14:paraId="2FBC593D" w14:textId="4E715ABF" w:rsidR="00F512E0" w:rsidRPr="00752EAC" w:rsidRDefault="004B2FC6" w:rsidP="00B13490">
      <w:pPr>
        <w:bidi/>
        <w:spacing w:after="120" w:line="240" w:lineRule="auto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وتجاوز الخطاب بشأن سياسة توطين العمل الإنساني</w:t>
      </w:r>
      <w:r w:rsidR="00F512E0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أيضا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الأهداف المتعلقة بتعزيز دور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الجهات الفاعلة المحلية في سياق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المعونة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الدولية والوفاء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بالالتزاما</w:t>
      </w:r>
      <w:r w:rsidRPr="00752EAC">
        <w:rPr>
          <w:rFonts w:ascii="Arabic Typesetting" w:eastAsiaTheme="minorEastAsia" w:hAnsi="Arabic Typesetting" w:cs="Arabic Typesetting" w:hint="eastAsia"/>
          <w:kern w:val="0"/>
          <w:sz w:val="36"/>
          <w:szCs w:val="36"/>
          <w:rtl/>
          <w:lang w:val="en-GB"/>
        </w:rPr>
        <w:t>ت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المقطوعة في إطار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الصفقة الكبرى</w:t>
      </w:r>
      <w:r w:rsidR="00F9134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،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="00F9134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وأصبح يُعنى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="00F9134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بوضع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خطة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عمل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ذات قيادة محلية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،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وهو ما يسلط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الضوء على قوة </w:t>
      </w:r>
      <w:r w:rsidR="00F9134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وقدرات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الأشخاص المتضررين والجهات الفاعلة المحلية في </w:t>
      </w:r>
      <w:r w:rsidR="004C79E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مجال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العمل الإنساني.</w:t>
      </w:r>
    </w:p>
    <w:p w14:paraId="0725DAEE" w14:textId="1DC94BE5" w:rsidR="00AF7B0A" w:rsidRPr="00752EAC" w:rsidRDefault="00AF7B0A" w:rsidP="00B13490">
      <w:pPr>
        <w:bidi/>
        <w:spacing w:after="120" w:line="240" w:lineRule="auto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وتتمتع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الحركة الدولية للصليب الأحمر والهلال الأحمر (الحركة)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هيكل فريد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بهوية متفردة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يستندان إلى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اتفاقيات جنيف والنظام الأساسي للحركة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يتألفان من مكونات 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محلية ووطنية وعالمية تعمل </w:t>
      </w:r>
      <w:r w:rsidR="00052A6F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جماعيا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بطريقة تكاملية 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وفقا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لمبادئ الأساسية.</w:t>
      </w:r>
    </w:p>
    <w:p w14:paraId="4BA577FB" w14:textId="1EC369DB" w:rsidR="004B2FC6" w:rsidRPr="00752EAC" w:rsidRDefault="004B2FC6" w:rsidP="00B13490">
      <w:pPr>
        <w:bidi/>
        <w:spacing w:after="120" w:line="240" w:lineRule="auto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وتتألف الحركة من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  <w:t>191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جمعية وطنية للصليب الأحمر والهلال الأحمر (الجمعيات الوطنية)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،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التي تتمتع بوضع خاص </w:t>
      </w:r>
      <w:r w:rsidR="00A36EE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يتمثل في كونها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هيئات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مساع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ِ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دة للسلطات العامة في المجال الإنساني، و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كذلك من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أعضاء الاتحاد الدولي واللجنة الدولية للصليب الأحمر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(اللجنة</w:t>
      </w:r>
      <w:r w:rsidR="006146A5" w:rsidRPr="00752EAC">
        <w:rPr>
          <w:rFonts w:ascii="Arabic Typesetting" w:eastAsiaTheme="minorEastAsia" w:hAnsi="Arabic Typesetting" w:cs="Arabic Typesetting" w:hint="eastAsia"/>
          <w:kern w:val="0"/>
          <w:sz w:val="36"/>
          <w:szCs w:val="36"/>
          <w:lang w:val="en-GB"/>
        </w:rPr>
        <w:t> 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الدولية)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585AB811" w14:textId="0C6526BF" w:rsidR="00A36EE8" w:rsidRPr="00752EAC" w:rsidRDefault="004B2FC6" w:rsidP="00B13490">
      <w:pPr>
        <w:bidi/>
        <w:spacing w:after="120" w:line="240" w:lineRule="auto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US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lastRenderedPageBreak/>
        <w:t>و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يقترح الاتحاد الدولي واللجنة الدولية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تسخير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المؤتمر الدول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ي الرابع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والثلاثين لاعتماد قرار يدعو إلى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تعزيز فهم دور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الجهات الفاعلة المحلية، مثل الجمعيات الوطنية، في تقديم الخدمات الإنسانية المستدامة في جميع الأوقات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،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وتحسين دعم هذا الدور</w:t>
      </w:r>
      <w:r w:rsidR="00F459D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US"/>
        </w:rPr>
        <w:t>.</w:t>
      </w:r>
    </w:p>
    <w:p w14:paraId="5073861E" w14:textId="6A8CC243" w:rsidR="004B2FC6" w:rsidRPr="00752EAC" w:rsidRDefault="004B2FC6" w:rsidP="00B13490">
      <w:pPr>
        <w:bidi/>
        <w:spacing w:after="120" w:line="240" w:lineRule="auto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وتقدم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هذه الوثيقة قائمة </w:t>
      </w:r>
      <w:r w:rsidR="00F028FB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تشتمل على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التزامات محتملة ملموسة وعملية يمكن تكييفها </w:t>
      </w:r>
      <w:r w:rsidR="0099264E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لتلائم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سياق وأولويات كل جهة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من الجهات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موقعة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لتحقيق تقدم حقيقي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وقادر على إحداث التحولات المنشودة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في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ما يخص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العمل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ذي القيادة المحلية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6A046E64" w14:textId="65D5C43F" w:rsidR="0099264E" w:rsidRPr="00752EAC" w:rsidRDefault="00F05CFF" w:rsidP="00B13490">
      <w:pPr>
        <w:bidi/>
        <w:spacing w:after="120" w:line="240" w:lineRule="auto"/>
        <w:jc w:val="both"/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t>باء -</w:t>
      </w:r>
      <w:r w:rsidR="000E53F9" w:rsidRPr="00752EAC"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rtl/>
          <w:lang w:val="en-GB"/>
        </w:rPr>
        <w:tab/>
      </w:r>
      <w:r w:rsidR="004C79E8" w:rsidRPr="00752EAC"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rtl/>
          <w:lang w:val="en-GB"/>
        </w:rPr>
        <w:t xml:space="preserve">الإجراءات المحتملة </w:t>
      </w:r>
      <w:r w:rsidR="004C79E8"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t>التي ينبغي</w:t>
      </w:r>
      <w:r w:rsidR="004C79E8" w:rsidRPr="00752EAC"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rtl/>
          <w:lang w:val="en-GB"/>
        </w:rPr>
        <w:t xml:space="preserve"> النظر فيها</w:t>
      </w:r>
    </w:p>
    <w:p w14:paraId="75390F06" w14:textId="0DEEEC32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إجراء عملية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استعراض وتغيير على الصعيدَين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تنظيمي/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مؤسسي لضمان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قدرة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السياسات والإجراءات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على دعم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و/أو تعزيز 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لشراكات الفعالة والعادلة مع الجمعيات الوطنية للصليب الأحمر والهلال الأحمر و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سائر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الجهات الفاعلة المحلية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المعنية</w:t>
      </w:r>
      <w:r w:rsidR="0099264E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.</w:t>
      </w:r>
    </w:p>
    <w:p w14:paraId="29024C7F" w14:textId="50E09238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iCs/>
          <w:spacing w:val="-2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 xml:space="preserve">تأييد </w:t>
      </w:r>
      <w:hyperlink r:id="rId12" w:history="1">
        <w:r w:rsidRPr="00752EAC">
          <w:rPr>
            <w:rStyle w:val="Hyperlink"/>
            <w:rFonts w:ascii="Arabic Typesetting" w:eastAsiaTheme="minorEastAsia" w:hAnsi="Arabic Typesetting" w:cs="Arabic Typesetting"/>
            <w:spacing w:val="-2"/>
            <w:kern w:val="0"/>
            <w:sz w:val="36"/>
            <w:szCs w:val="36"/>
            <w:rtl/>
            <w:lang w:val="en-GB"/>
          </w:rPr>
          <w:t>الوثيقة الختامية</w:t>
        </w:r>
      </w:hyperlink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للمجموعة المعنية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ب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>الصفقة الكبرى بشأن دور الوسطاء ووضع خطة عمل/تنفيذ حسب الاقتضاء</w:t>
      </w:r>
      <w:r w:rsidR="00EE6343"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.</w:t>
      </w:r>
    </w:p>
    <w:p w14:paraId="583D6C97" w14:textId="525652E6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الاستثمار في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إقامة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شراكات و/أو علاقات استراتيجية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في الأجل الطويل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تقوم فعلا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على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شراكات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منصفة و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احترام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متبادل و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شفافية و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ثقة و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مسؤولية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مشتركة و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مساءلة مع الجمعيات الوطنية للصليب الأحمر والهلال الأحمر وغيرها من الجهات الفاعلة المحلية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المعنية</w:t>
      </w:r>
      <w:r w:rsidR="00EE6343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.</w:t>
      </w:r>
    </w:p>
    <w:p w14:paraId="477BCF7F" w14:textId="7009C0BE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دعم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وتعزيز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العمل المحلي من خلال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مشاركة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لجهات الفاعلة المحلية في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آليات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الرئيسية </w:t>
      </w:r>
      <w:r w:rsidR="003437DB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اتخاذ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القرار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ات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والتنسيق في المجال الإنساني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مشاركة مجدية</w:t>
      </w:r>
      <w:r w:rsidR="00EE6343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.</w:t>
      </w:r>
    </w:p>
    <w:p w14:paraId="73D41187" w14:textId="2F667C5B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التعاون على إدماج نهج </w:t>
      </w:r>
      <w:r w:rsidR="00924621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تقاسم المخاطر في العمليات الإنسانية من خلال تعزيز الحوار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المنصف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وتوزيع المخاطر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توزيعا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منصف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سعيا إلى تحقيق الهدف النهائي المتمثل في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توفير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دعم أفضل للسكان المتضررين وتحديد المخاطر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ونشر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ثقافة إدارة المخاطر</w:t>
      </w:r>
      <w:r w:rsidR="00EE6343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.</w:t>
      </w:r>
    </w:p>
    <w:p w14:paraId="29B15271" w14:textId="1343E0D9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الاستثمار في تعزيز قدرات الجهات الفاعلة المحلية، مثل جمعيات الصليب الأحمر والهلال الأحمر، </w:t>
      </w:r>
      <w:r w:rsidR="00B905C1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بوسائل تشمل توفير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التمويل المرن من أجل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زيادة القدرة المؤسسية على الصمود.</w:t>
      </w:r>
    </w:p>
    <w:p w14:paraId="12B49032" w14:textId="0E37DCE8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توفير تمويل غير مخصص و/أو مرن</w:t>
      </w:r>
      <w:r w:rsidR="00B905C1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في الأجل الطويل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ل</w:t>
      </w:r>
      <w:r w:rsidR="00B905C1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صالح 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لجهات الفاعلة المحلية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ومساعدتها على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إدارة المخاطر </w:t>
      </w:r>
      <w:r w:rsidR="00B905C1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وإنشاء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آليات امتثال مناسبة</w:t>
      </w:r>
      <w:r w:rsidR="003437DB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.</w:t>
      </w:r>
    </w:p>
    <w:p w14:paraId="340C8B28" w14:textId="0E0A50FA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زيادة الاستثمار في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="00771DBD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المساعي الرامية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="00771DBD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إلى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ضمان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سلامة وأمن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المتطوعين المحليين وحسن حالهم، ومنهم متطوعو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الصليب الأحمر والهلال الأحمر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، واتخاذ جميع التدابير المعقولة في هذا الصدد</w:t>
      </w:r>
      <w:r w:rsidR="003437DB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.</w:t>
      </w:r>
    </w:p>
    <w:p w14:paraId="06C03015" w14:textId="3C2ABD6A" w:rsidR="005A6447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تعزيز العمل الإنساني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ذي القيادة المحلية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القائم على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الاحتياجات والشامل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للجميع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في</w:t>
      </w:r>
      <w:r w:rsidR="005A6447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إطار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التعاون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مع المجتمعات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المحلية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المتضررة و</w:t>
      </w:r>
      <w:r w:rsidR="005A6447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مراعاة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تنوعها،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ويشمل ذلك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إقامة شراكات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مع المجموعات التي تمثل الأشخاص المهمشين</w:t>
      </w:r>
      <w:r w:rsidR="005A6447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.</w:t>
      </w:r>
    </w:p>
    <w:p w14:paraId="11A6F2C2" w14:textId="6D59D70B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ضمان إسماع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آراء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الأشخاص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المستضعفين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على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الصعيد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المحلي والوطني والإقليمي والعالمي من خلال الدبلوماسية الإنسانية،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لا سي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ّ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ما من خلال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زيادة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استخدام اللغات المحلية، وتنظيم اجتماعات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على الصعيد المحلي وليس على صعيد العواصم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،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والقيام عند الحاجة بتوجيه وإرشاد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الجهات الفاعلة المحلية </w:t>
      </w:r>
      <w:r w:rsidR="004E44BA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من أجل الاضطلاع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بأدوار قيادية لتلبية احتياجاته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بصورة</w:t>
      </w:r>
      <w:r w:rsidR="006146A5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 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أفضل</w:t>
      </w:r>
      <w:r w:rsidR="003437DB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4CBBAD8E" w14:textId="0D3EADED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تحديد الفرص المتاحة لزيادة التمويل المباشر و</w:t>
      </w:r>
      <w:r w:rsidR="004E44BA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التمويل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المباشر قدر </w:t>
      </w:r>
      <w:r w:rsidR="004E44BA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المستطاع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للجهات الفاعلة المحلية والعمل على </w:t>
      </w:r>
      <w:r w:rsidR="00A5726B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تذليل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="00A5726B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لقيود التشريعية والإدارية المتعلقة </w:t>
      </w:r>
      <w:r w:rsidR="00A5726B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بذلك</w:t>
      </w:r>
      <w:r w:rsidR="003437DB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1684AA27" w14:textId="4F31DCA6" w:rsidR="004E44BA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lastRenderedPageBreak/>
        <w:t>استعراض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 وتبسيط 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>متطلبات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 xml:space="preserve"> المتعلقة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ب</w:t>
      </w:r>
      <w:r w:rsidR="003A3652"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 xml:space="preserve">بذل 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العناية الواجبة 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وب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الامتثال 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فيما يخص ا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>لجهات الفاعلة المحلية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، والعمل في الوقت ذاته على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 دعم النزاهة والمساءلة من خلال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 xml:space="preserve"> اتخاذ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 تدابير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 xml:space="preserve"> تضم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 مثل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ا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 متطلبات 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تقديم التقارير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 المبسطة 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والموحدة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، والاستثمار في </w:t>
      </w:r>
      <w:r w:rsidR="007A5D1E"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قدرات تلك الجهات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 أو التعاون </w:t>
      </w:r>
      <w:r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 xml:space="preserve">على </w:t>
      </w:r>
      <w:r w:rsidR="00F17A1F"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إصدار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 شهادات</w:t>
      </w:r>
      <w:r w:rsidR="0067040B"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 w:bidi="ar-EG"/>
        </w:rPr>
        <w:t xml:space="preserve"> التصديق الخاصة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 xml:space="preserve"> </w:t>
      </w:r>
      <w:r w:rsidR="0067040B"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ب</w:t>
      </w:r>
      <w:r w:rsidRPr="00752EAC">
        <w:rPr>
          <w:rFonts w:ascii="Arabic Typesetting" w:eastAsiaTheme="minorEastAsia" w:hAnsi="Arabic Typesetting" w:cs="Arabic Typesetting"/>
          <w:spacing w:val="-2"/>
          <w:kern w:val="0"/>
          <w:sz w:val="36"/>
          <w:szCs w:val="36"/>
          <w:rtl/>
          <w:lang w:val="en-GB"/>
        </w:rPr>
        <w:t>الاتحاد الدولي والاعتراف بها</w:t>
      </w:r>
      <w:r w:rsidR="00F17A1F"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>.</w:t>
      </w:r>
      <w:r w:rsidR="004E44BA" w:rsidRPr="00752EAC">
        <w:rPr>
          <w:rFonts w:ascii="Arabic Typesetting" w:eastAsiaTheme="minorEastAsia" w:hAnsi="Arabic Typesetting" w:cs="Arabic Typesetting" w:hint="cs"/>
          <w:spacing w:val="-2"/>
          <w:kern w:val="0"/>
          <w:sz w:val="36"/>
          <w:szCs w:val="36"/>
          <w:rtl/>
          <w:lang w:val="en-GB"/>
        </w:rPr>
        <w:t xml:space="preserve"> </w:t>
      </w:r>
    </w:p>
    <w:p w14:paraId="68579AF3" w14:textId="30FCB98E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زيادة الاستثمار في</w:t>
      </w:r>
      <w:r w:rsidR="004F5CE9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أنشطة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تعزيز قدرات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لجهات الفاعلة المحلية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تعزيزا قائما على الطلب وملائما للسياق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،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لا سي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ّ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ما في السياقات الهشة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والضعيفة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وسياقات النزاعات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،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بوسائل تضم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تمويل </w:t>
      </w:r>
      <w:r w:rsidR="004F5CE9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المخصص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والتمويل 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متعدد السنوات و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التمويل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غير</w:t>
      </w:r>
      <w:r w:rsidR="006146A5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 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مخصص</w:t>
      </w:r>
      <w:r w:rsidR="003437DB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06D6CE06" w14:textId="184D1BE8" w:rsidR="004F5CE9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زيادة الاستثمار في صناديق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التمويل الجماعي</w:t>
      </w:r>
      <w:r w:rsidR="004F5CE9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التابعة للحركة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="004F5CE9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والمعنية ب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تنمية الجمعيات الوطنية، وتحديد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صندوق بناء القدرات وتحالف الاستثمار في الجمعيات الوطنية</w:t>
      </w:r>
      <w:r w:rsidR="003437DB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4DBF3518" w14:textId="2F379EE1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تحديد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وتوفير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حصة/نسبة مئوية معقولة من التكاليف العامة في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تمويل جميع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المشاريع/البرامج للجهات الفاعلة المحلية</w:t>
      </w:r>
      <w:r w:rsidR="003437DB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3B64ACE4" w14:textId="4FEE270C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إجراء تقييم [مشترك]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لتحديد ما إ</w:t>
      </w:r>
      <w:r w:rsidR="0067040B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ذا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كانت الأطر القانونية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وأطر السياسات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على الصعيد المحلي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توفر أساسا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محكما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ومؤاتيا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لاضطلاع الجمعيات الوطنية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الدور المساع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ِ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د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،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وإجراء مراجعة تشريعية لتعزيز الدور المساع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ِ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د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للجمعيات الوطنية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في الصكوك القانونية إذا لزم الأمر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، مع ضمان ما يلي بوجه خاص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[إدراج ما يلي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حسب الاقتضاء]:</w:t>
      </w:r>
    </w:p>
    <w:p w14:paraId="20497222" w14:textId="77777777" w:rsidR="004B2FC6" w:rsidRPr="00752EAC" w:rsidRDefault="004B2FC6" w:rsidP="00752EAC">
      <w:pPr>
        <w:numPr>
          <w:ilvl w:val="0"/>
          <w:numId w:val="6"/>
        </w:numPr>
        <w:bidi/>
        <w:spacing w:after="60" w:line="240" w:lineRule="auto"/>
        <w:ind w:left="1701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أن تكون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القاعدة القانونية للجمعية الوطنية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المعنية محدَّثة وتمكّنها من الاضطلاع بدورها المساعِد للسلطات العامة في المجال الإنساني. وينبغي بوجه خاص ضمان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امتثال القاعدة القانونية للجمعية الوطنية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للمعايير المنصوص عليها في النظام الأساسي للحركة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كحد أدنى؛</w:t>
      </w:r>
    </w:p>
    <w:p w14:paraId="75F03F12" w14:textId="46127E10" w:rsidR="004F5CE9" w:rsidRPr="00752EAC" w:rsidRDefault="004F5CE9" w:rsidP="00752EAC">
      <w:pPr>
        <w:numPr>
          <w:ilvl w:val="0"/>
          <w:numId w:val="6"/>
        </w:numPr>
        <w:bidi/>
        <w:spacing w:after="60" w:line="240" w:lineRule="auto"/>
        <w:ind w:left="1701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أن تشتمل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القوانين والسياسات والخطط القطاعية في المجالات التي 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تقدّم فيها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الجمعية الوطنية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المعنية الدعم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، مثل إدارة مخاطر الكوارث والصحة والتعليم والهجرة والأمن الغذائي والتكيف مع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آثار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تغير المناخ، 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على أحكام تعترف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بالدور المساع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ِ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د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للجمعية الوطنية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، 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وتُشركها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في هيئات 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اتخاذ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القرار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ات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والتنسيق 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التي تعنيها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، 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وتتيح تيسير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العمل الإنساني للجمعية الوطنية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من أجل</w:t>
      </w:r>
      <w:r w:rsidR="004B2FC6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أداء </w:t>
      </w:r>
      <w:r w:rsidR="004B2FC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دورها المساعِد</w:t>
      </w:r>
      <w:r w:rsidR="005172EB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</w:p>
    <w:p w14:paraId="608EE999" w14:textId="70A38537" w:rsidR="00433C21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استخدام القانون النموذجي الجديد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للصليب الأحمر والهلال الأحمر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="0067040B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بوصفه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أداة مفيدة لمراجعة وتعزيز القاعدة القانونية للجمعيات الوطنية</w:t>
      </w:r>
      <w:r w:rsidR="005172EB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  <w:r w:rsidR="00433C21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</w:p>
    <w:p w14:paraId="753E8F9A" w14:textId="0093C855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تشجيع السلطات المعنية على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إجراء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مناقشات مع الجمعية الوطنية </w:t>
      </w:r>
      <w:r w:rsidR="0056348F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يتمثل الغرض منها في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إبرام اتفاقات و/أو مذكرات تفاهم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سابقة على وقوع الكوارث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تمكّن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الجمعية الوطنية من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الاضطلاع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دورها المساع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ِ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د بفعالية والاستعداد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والتصدي</w:t>
      </w:r>
      <w:r w:rsidR="0056348F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بفعالية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للكوارث وحالات الطوارئ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بكل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أنواعها.</w:t>
      </w:r>
    </w:p>
    <w:p w14:paraId="7C17F1B7" w14:textId="2A714216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fr-FR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المبادرة إلى إقامة حوارات وأنشطة </w:t>
      </w:r>
      <w:r w:rsidR="002D40D1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لل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مناصرة </w:t>
      </w:r>
      <w:r w:rsidR="002D40D1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مشتركة و</w:t>
      </w:r>
      <w:r w:rsidR="002D40D1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تبادل </w:t>
      </w:r>
      <w:r w:rsidR="008A589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الخبرات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بين السلطات المحلية والجهات الفاعلة المحلية، وتحديدا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فروع الجمعيات الوطنية للصليب الأحمر والهلال الأحمر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، من أجل النهوض بخطة توطين العمل الإنساني وعدم </w:t>
      </w:r>
      <w:r w:rsidR="002D40D1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اقتصار دورها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على الاستجابة الإنسانية </w:t>
      </w:r>
      <w:r w:rsidR="008A589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</w:t>
      </w:r>
      <w:r w:rsidR="002D40D1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يشمل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="002D40D1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إدماج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تعزيز إدارة مخاطر الكوارث المحلية والعمل المناخي والأمن الصحي و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سائر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القطاعات الأخرى ذات الأولوية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، و/أو المشاركة في تلك الحوارات وأنشطة المناصرة المشتركة وتبادل </w:t>
      </w:r>
      <w:r w:rsidR="008A589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الخبرات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و/أو دعمها</w:t>
      </w:r>
      <w:r w:rsidR="005172EB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3DA0F38A" w14:textId="46E906D4" w:rsidR="004B2FC6" w:rsidRPr="00752EAC" w:rsidRDefault="004B2FC6" w:rsidP="00752EAC">
      <w:pPr>
        <w:numPr>
          <w:ilvl w:val="0"/>
          <w:numId w:val="4"/>
        </w:numPr>
        <w:bidi/>
        <w:spacing w:after="12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دعم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عملية 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تقييم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التي يعتزم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الاتحاد الدولي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القيام بها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قياس التقدم الذي تحرزه الشبكة في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إيجاد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="0091787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أعمال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محلي</w:t>
      </w:r>
      <w:r w:rsidR="0091787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مستدام</w:t>
      </w:r>
      <w:r w:rsidR="0091787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مع التركيز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بوجه خاص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على السلوك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والد</w:t>
      </w:r>
      <w:r w:rsidR="00DE0737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وافع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والفرص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، و/أو المشاركة في تلك العملية.</w:t>
      </w:r>
    </w:p>
    <w:p w14:paraId="62ABCAED" w14:textId="43000D74" w:rsidR="004B2FC6" w:rsidRPr="00752EAC" w:rsidRDefault="000E53F9" w:rsidP="00B13490">
      <w:pPr>
        <w:keepNext/>
        <w:bidi/>
        <w:spacing w:after="120" w:line="240" w:lineRule="auto"/>
        <w:jc w:val="both"/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lastRenderedPageBreak/>
        <w:t>ج</w:t>
      </w:r>
      <w:r w:rsidR="00F05CFF"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t>يم -</w:t>
      </w:r>
      <w:r w:rsidRPr="00752EAC"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rtl/>
          <w:lang w:val="en-GB"/>
        </w:rPr>
        <w:tab/>
      </w:r>
      <w:r w:rsidR="00DE0737" w:rsidRPr="00752EAC"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rtl/>
          <w:lang w:val="en-GB"/>
        </w:rPr>
        <w:t>المؤشرات المحتملة لقياس التقدم المحرز</w:t>
      </w:r>
    </w:p>
    <w:p w14:paraId="7394BF1C" w14:textId="291463DF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إطار العمل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أو الاستراتيجية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أو بيان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الموقف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أ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و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المبادئ التوجيهية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أ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و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خطة العمل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أو غيرها </w:t>
      </w:r>
      <w:r w:rsidR="0066782D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من الوثائق فيما يخص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توطين العمل الإنساني أو العمل ذي القيادة المحلية.</w:t>
      </w:r>
    </w:p>
    <w:p w14:paraId="2C748D49" w14:textId="61FB9932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بيانات المهمة، والمبادئ التوجيهية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بشأن 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لتوظيف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وتوجيه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الموظفين، وسياسات الشراكة، وتصميم البرامج، وآليات الشفافية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والتعقيب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وبروتوكولات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تقديم التقارير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التي تدعم أهداف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توطين العمل الإنساني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العمل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ذي القيادة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المحلي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ة،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و/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أو تساهم في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تحقيقها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و/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أو ترتبط بها</w:t>
      </w:r>
      <w:r w:rsidR="00A23CEF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0E5CE398" w14:textId="6D73E983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عدد الشراكات الاستراتيجية أو الشراكات الممولة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في الأجل الطويل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مع الجهات الفاعلة المحلية</w:t>
      </w:r>
      <w:r w:rsidR="00A23CEF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1C93E8EE" w14:textId="57900720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عدد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حوارات والمشاورات </w:t>
      </w:r>
      <w:r w:rsidR="005F7A36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وعمليات المراجعة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واجتماعات التخطيط وما إلى ذلك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التي تُجرى في إطار الشراكات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مع الجهات الفاعلة المحلية</w:t>
      </w:r>
      <w:r w:rsidR="00A23CEF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715BBA77" w14:textId="77777777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النسبة المئوية للتمويل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المخصص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للجهات الفاعلة المحلية وللعمل المحلي.</w:t>
      </w:r>
    </w:p>
    <w:p w14:paraId="670D566C" w14:textId="482BC60A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النسبة المئوية لتمويل التكاليف العامة/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المخصصات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غير المباشرة للجهات الفاعلة المحلية</w:t>
      </w:r>
      <w:r w:rsidR="00A23CEF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05B95C5B" w14:textId="52593676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مقدار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ونوعية الاستثمار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ات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في تعزيز قدرات الجهات الفاعلة المحلية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في الأجل الطويل</w:t>
      </w:r>
      <w:r w:rsidR="00A23CEF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3318D0D9" w14:textId="77777777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عدد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أنشطة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التعاون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بشأن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إ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دم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ج نهج تقاسم المخاطر في العمليات الإنسانية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، وطبيعة هذه الأنشطة ونتيجتها.</w:t>
      </w:r>
    </w:p>
    <w:p w14:paraId="5A10DABD" w14:textId="0917B4F5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عدد الجهات الفاعلة المحلية الممثلة في اللجان التوجيهية للبرامج/المشاريع، مع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إثبات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مشاركتها فعلا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في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عمليات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التخطيط و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اتخاذ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القرار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ات</w:t>
      </w:r>
      <w:r w:rsidR="00A23CEF"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53A4708E" w14:textId="735A42D0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اضطلاع الحكومة، بالتشاور مع الجمعية الوطنية، ب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صياغة أو اعتماد أو تنقيح أو تحديث القاعدة القانونية للجمعية الوطنية (قانون أو مرسوم أو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أمر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) بما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يتوافق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مع القانون النموذجي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للصليب الأحمر والهلال الأحمر.</w:t>
      </w:r>
    </w:p>
    <w:p w14:paraId="667EE701" w14:textId="4BFC5C4F" w:rsidR="004B2FC6" w:rsidRPr="00752EAC" w:rsidRDefault="004B2FC6" w:rsidP="00752EAC">
      <w:pPr>
        <w:numPr>
          <w:ilvl w:val="0"/>
          <w:numId w:val="4"/>
        </w:numPr>
        <w:bidi/>
        <w:spacing w:after="6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اضطلاع الحكومة، بالتشاور مع الجمعية الوطنية، ب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صياغة أو اعتماد أو </w:t>
      </w:r>
      <w:r w:rsidR="00C9328C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تنقيح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أو تحديث القوانين و/أو السياسات و/أو الخطط القطاعية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المعنية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ل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غرض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تعزيز الدور المساع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ِ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د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للجمعية الوطنية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وتيسير العمل الإنساني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الذي تضطلع به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</w:t>
      </w:r>
      <w:r w:rsidR="00DA70C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من أجل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أداء </w:t>
      </w:r>
      <w:r w:rsidR="00DA70C8"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دورها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المساع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ِ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د.</w:t>
      </w:r>
    </w:p>
    <w:p w14:paraId="2D70EF06" w14:textId="424B9893" w:rsidR="004B2FC6" w:rsidRPr="00752EAC" w:rsidRDefault="004B2FC6" w:rsidP="00752EAC">
      <w:pPr>
        <w:numPr>
          <w:ilvl w:val="0"/>
          <w:numId w:val="4"/>
        </w:numPr>
        <w:bidi/>
        <w:spacing w:after="120" w:line="240" w:lineRule="auto"/>
        <w:ind w:left="1134" w:hanging="567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عدد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اتفاقات و/أو مذكرات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ال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تفاهم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السابقة على وقوع الكوارث المبرمة بين 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وزارة/وكالة حكومية والجمعية الوطنية 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من أجل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 xml:space="preserve"> تعزيز الدور المساع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>ِ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د</w:t>
      </w:r>
      <w:r w:rsidRPr="00752EAC">
        <w:rPr>
          <w:rFonts w:ascii="Arabic Typesetting" w:eastAsiaTheme="minorEastAsia" w:hAnsi="Arabic Typesetting" w:cs="Arabic Typesetting" w:hint="cs"/>
          <w:kern w:val="0"/>
          <w:sz w:val="36"/>
          <w:szCs w:val="36"/>
          <w:rtl/>
          <w:lang w:val="en-GB"/>
        </w:rPr>
        <w:t xml:space="preserve"> للجمعية الوطنية</w:t>
      </w: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.</w:t>
      </w:r>
    </w:p>
    <w:p w14:paraId="3FCBC399" w14:textId="3725CADA" w:rsidR="001B040C" w:rsidRPr="00752EAC" w:rsidRDefault="000E53F9" w:rsidP="00B13490">
      <w:pPr>
        <w:bidi/>
        <w:spacing w:after="120" w:line="240" w:lineRule="auto"/>
        <w:jc w:val="both"/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rtl/>
          <w:lang w:val="en-GB"/>
        </w:rPr>
      </w:pPr>
      <w:r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t>د</w:t>
      </w:r>
      <w:r w:rsidR="00F05CFF"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t>ال -</w:t>
      </w:r>
      <w:r w:rsidRPr="00752EAC">
        <w:rPr>
          <w:rFonts w:ascii="Arabic Typesetting" w:eastAsiaTheme="minorEastAsia" w:hAnsi="Arabic Typesetting" w:cs="Arabic Typesetting"/>
          <w:b/>
          <w:bCs/>
          <w:kern w:val="0"/>
          <w:sz w:val="36"/>
          <w:szCs w:val="36"/>
          <w:rtl/>
          <w:lang w:val="en-GB"/>
        </w:rPr>
        <w:tab/>
      </w:r>
      <w:r w:rsidR="00DE0737"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t xml:space="preserve">الآثار </w:t>
      </w:r>
      <w:r w:rsidR="00F05CFF"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t>المترتبة</w:t>
      </w:r>
      <w:r w:rsidR="00DE0737" w:rsidRPr="00752EAC">
        <w:rPr>
          <w:rFonts w:ascii="Arabic Typesetting" w:eastAsiaTheme="minorEastAsia" w:hAnsi="Arabic Typesetting" w:cs="Arabic Typesetting" w:hint="cs"/>
          <w:b/>
          <w:bCs/>
          <w:kern w:val="0"/>
          <w:sz w:val="36"/>
          <w:szCs w:val="36"/>
          <w:rtl/>
          <w:lang w:val="en-GB"/>
        </w:rPr>
        <w:t xml:space="preserve"> على الموارد</w:t>
      </w:r>
    </w:p>
    <w:p w14:paraId="539C0188" w14:textId="1100D5ED" w:rsidR="00680346" w:rsidRPr="00752EAC" w:rsidRDefault="00A9313E" w:rsidP="00B13490">
      <w:pPr>
        <w:bidi/>
        <w:spacing w:after="120" w:line="240" w:lineRule="auto"/>
        <w:jc w:val="both"/>
        <w:rPr>
          <w:rFonts w:ascii="Arabic Typesetting" w:eastAsiaTheme="minorEastAsia" w:hAnsi="Arabic Typesetting" w:cs="Arabic Typesetting"/>
          <w:kern w:val="0"/>
          <w:sz w:val="36"/>
          <w:szCs w:val="36"/>
          <w:lang w:val="en-GB"/>
        </w:rPr>
      </w:pPr>
      <w:r w:rsidRPr="00752EAC">
        <w:rPr>
          <w:rFonts w:ascii="Arabic Typesetting" w:eastAsiaTheme="minorEastAsia" w:hAnsi="Arabic Typesetting" w:cs="Arabic Typesetting"/>
          <w:kern w:val="0"/>
          <w:sz w:val="36"/>
          <w:szCs w:val="36"/>
          <w:rtl/>
          <w:lang w:val="en-GB"/>
        </w:rPr>
        <w:t>ستحدد الدول و/ أو الجمعيات الوطنية الموارد التي قد تلزم لتنفيذ هذا التعهد، بناء على الأهداف والإجراءات التي تختارها وفقا لسياقها المحدد.</w:t>
      </w:r>
    </w:p>
    <w:sectPr w:rsidR="00680346" w:rsidRPr="00752EAC" w:rsidSect="000967A3"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CC5CF" w14:textId="77777777" w:rsidR="00EB31D6" w:rsidRDefault="00EB31D6" w:rsidP="004B2FC6">
      <w:pPr>
        <w:spacing w:after="0" w:line="240" w:lineRule="auto"/>
      </w:pPr>
      <w:r>
        <w:separator/>
      </w:r>
    </w:p>
  </w:endnote>
  <w:endnote w:type="continuationSeparator" w:id="0">
    <w:p w14:paraId="430F191A" w14:textId="77777777" w:rsidR="00EB31D6" w:rsidRDefault="00EB31D6" w:rsidP="004B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2273" w14:textId="5286E29D" w:rsidR="006146A5" w:rsidRDefault="006146A5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B084D8" wp14:editId="35F665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7225" cy="357505"/>
              <wp:effectExtent l="0" t="0" r="9525" b="0"/>
              <wp:wrapNone/>
              <wp:docPr id="740023033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44CF2" w14:textId="7A68A3A5" w:rsidR="006146A5" w:rsidRPr="006146A5" w:rsidRDefault="006146A5" w:rsidP="006146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46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084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7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znDwIAABoEAAAOAAAAZHJzL2Uyb0RvYy54bWysU01v2zAMvQ/YfxB0X+xkcz+MOEXWIsOA&#10;oC2QFj0rshQbkERBUmJnv36U7CRbt9Owi0yR9CP5+DS/67UiB+F8C6ai00lOiTAc6tbsKvr6svp0&#10;Q4kPzNRMgREVPQpP7xYfP8w7W4oZNKBq4QiCGF92tqJNCLbMMs8boZmfgBUGgxKcZgGvbpfVjnWI&#10;rlU2y/OrrANXWwdceI/ehyFIFwlfSsHDk5ReBKIqir2FdLp0buOZLeas3Dlmm5aPbbB/6EKz1mDR&#10;M9QDC4zsXfsHlG65Aw8yTDjoDKRsuUgz4DTT/N00m4ZZkWZBcrw90+T/Hyx/PGzssyOh/wo9LjAS&#10;0llfenTGeXrpdPxipwTjSOHxTJvoA+HovCquZ7OCEo6hz8V1kRcRJbv8bJ0P3wRoEo2KOtxKIosd&#10;1j4MqaeUWMvAqlUqbUaZ3xyIGT3ZpcNohX7bj21voT7iNA6GRXvLVy3WXDMfnpnDzeIAqNbwhIdU&#10;0FUURouSBtyPv/ljPhKOUUo6VEpFDUqZEvXd4CJmxZc8j8pKNzTcydgmY3qbFzFu9voeUIRTfA+W&#10;JzMmB3UypQP9hmJexmoYYoZjzYpuT+Z9GHSLj4GL5TIloYgsC2uzsTxCR7Iiky/9G3N2pDvgnh7h&#10;pCVWvmN9yI1/ervcB+Q+rSQSO7A58o0CTEsdH0tU+K/3lHV50oufAAAA//8DAFBLAwQUAAYACAAA&#10;ACEA/NlwhNoAAAAEAQAADwAAAGRycy9kb3ducmV2LnhtbEyPzW7CMBCE75X6DtZW6q04gIhQiIMQ&#10;/VGvDUjtcRMvcUS8DrGB9O1remkvK41mNPNtvh5tJy40+NaxgukkAUFcO91yo2C/e31agvABWWPn&#10;mBR8k4d1cX+XY6bdlT/oUoZGxBL2GSowIfSZlL42ZNFPXE8cvYMbLIYoh0bqAa+x3HZyliSptNhy&#10;XDDY09ZQfSzPVkH6/LYx/Wf6dTrM/Luv3DGU7kWpx4dxswIRaAx/YbjhR3QoIlPlzqy96BTER8Lv&#10;vXnJfAGiUrBI5yCLXP6HL34AAAD//wMAUEsBAi0AFAAGAAgAAAAhALaDOJL+AAAA4QEAABMAAAAA&#10;AAAAAAAAAAAAAAAAAFtDb250ZW50X1R5cGVzXS54bWxQSwECLQAUAAYACAAAACEAOP0h/9YAAACU&#10;AQAACwAAAAAAAAAAAAAAAAAvAQAAX3JlbHMvLnJlbHNQSwECLQAUAAYACAAAACEA06Yc5w8CAAAa&#10;BAAADgAAAAAAAAAAAAAAAAAuAgAAZHJzL2Uyb0RvYy54bWxQSwECLQAUAAYACAAAACEA/NlwhNoA&#10;AAAEAQAADwAAAAAAAAAAAAAAAABpBAAAZHJzL2Rvd25yZXYueG1sUEsFBgAAAAAEAAQA8wAAAHAF&#10;AAAAAA==&#10;" filled="f" stroked="f">
              <v:textbox style="mso-fit-shape-to-text:t" inset="20pt,0,0,15pt">
                <w:txbxContent>
                  <w:p w14:paraId="3DE44CF2" w14:textId="7A68A3A5" w:rsidR="006146A5" w:rsidRPr="006146A5" w:rsidRDefault="006146A5" w:rsidP="006146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46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762D" w14:textId="69CF1FCF" w:rsidR="00F31E05" w:rsidRPr="000D2385" w:rsidRDefault="009D3D99">
    <w:pPr>
      <w:pStyle w:val="Footer"/>
      <w:jc w:val="center"/>
      <w:rPr>
        <w:rFonts w:ascii="Arabic Typesetting" w:hAnsi="Arabic Typesetting" w:cs="Arabic Typesetting"/>
        <w:kern w:val="0"/>
        <w:sz w:val="32"/>
        <w:szCs w:val="32"/>
      </w:rPr>
    </w:pPr>
    <w:sdt>
      <w:sdtPr>
        <w:rPr>
          <w:rFonts w:ascii="Arabic Typesetting" w:hAnsi="Arabic Typesetting" w:cs="Arabic Typesetting"/>
          <w:kern w:val="0"/>
          <w:sz w:val="32"/>
          <w:szCs w:val="32"/>
        </w:rPr>
        <w:id w:val="-8293713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1E05" w:rsidRPr="000D2385">
          <w:rPr>
            <w:rFonts w:ascii="Arabic Typesetting" w:hAnsi="Arabic Typesetting" w:cs="Arabic Typesetting"/>
            <w:kern w:val="0"/>
            <w:sz w:val="32"/>
            <w:szCs w:val="32"/>
          </w:rPr>
          <w:fldChar w:fldCharType="begin"/>
        </w:r>
        <w:r w:rsidR="00F31E05" w:rsidRPr="000D2385">
          <w:rPr>
            <w:rFonts w:ascii="Arabic Typesetting" w:hAnsi="Arabic Typesetting" w:cs="Arabic Typesetting"/>
            <w:kern w:val="0"/>
            <w:sz w:val="32"/>
            <w:szCs w:val="32"/>
          </w:rPr>
          <w:instrText xml:space="preserve"> PAGE   \* MERGEFORMAT </w:instrText>
        </w:r>
        <w:r w:rsidR="00F31E05" w:rsidRPr="000D2385">
          <w:rPr>
            <w:rFonts w:ascii="Arabic Typesetting" w:hAnsi="Arabic Typesetting" w:cs="Arabic Typesetting"/>
            <w:kern w:val="0"/>
            <w:sz w:val="32"/>
            <w:szCs w:val="32"/>
          </w:rPr>
          <w:fldChar w:fldCharType="separate"/>
        </w:r>
        <w:r w:rsidR="00F31E05" w:rsidRPr="000D2385">
          <w:rPr>
            <w:rFonts w:ascii="Arabic Typesetting" w:hAnsi="Arabic Typesetting" w:cs="Arabic Typesetting"/>
            <w:noProof/>
            <w:kern w:val="0"/>
            <w:sz w:val="32"/>
            <w:szCs w:val="32"/>
            <w:lang w:val="en-GB"/>
          </w:rPr>
          <w:t>2</w:t>
        </w:r>
        <w:r w:rsidR="00F31E05" w:rsidRPr="000D2385">
          <w:rPr>
            <w:rFonts w:ascii="Arabic Typesetting" w:hAnsi="Arabic Typesetting" w:cs="Arabic Typesetting"/>
            <w:noProof/>
            <w:kern w:val="0"/>
            <w:sz w:val="32"/>
            <w:szCs w:val="3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2B12" w14:textId="25389724" w:rsidR="006146A5" w:rsidRDefault="006146A5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0B126E" wp14:editId="6785E7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7225" cy="357505"/>
              <wp:effectExtent l="0" t="0" r="9525" b="0"/>
              <wp:wrapNone/>
              <wp:docPr id="238597192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600EA" w14:textId="7BDDE3A7" w:rsidR="006146A5" w:rsidRPr="006146A5" w:rsidRDefault="006146A5" w:rsidP="006146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46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B12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51.7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ymEQIAACEEAAAOAAAAZHJzL2Uyb0RvYy54bWysU8tu2zAQvBfoPxC815LdKmkFy4GbwEUB&#10;IwngFDlTFGkJILkESVtyv75Lyo80zSnohVrurvYxM5zfDFqRvXC+A1PR6SSnRBgOTWe2Ff31tPr0&#10;lRIfmGmYAiMqehCe3iw+fpj3thQzaEE1whEsYnzZ24q2IdgyyzxvhWZ+AlYYDEpwmgW8um3WONZj&#10;da2yWZ5fZT24xjrgwnv03o1Bukj1pRQ8PEjpRSCqojhbSKdLZx3PbDFn5dYx23b8OAZ7xxSadQab&#10;nkvdscDIznX/lNIdd+BBhgkHnYGUHRdpB9xmmr/aZtMyK9IuCI63Z5j8/yvL7/cb++hIGL7DgARG&#10;QHrrS4/OuM8gnY5fnJRgHCE8nGETQyAcnVfF9WxWUMIx9Lm4LvIiVskuP1vnww8BmkSjog5ZSWCx&#10;/dqHMfWUEnsZWHVKJWaU+cuBNaMnu0wYrTDUA+maF9PX0BxwKQcj397yVYet18yHR+aQYNwDRRse&#10;8JAK+orC0aKkBff7LX/MR9wxSkmPgqmoQUVTon4a5GNWfMnzKLB0Q8OdjDoZ0295EeNmp28BtTjF&#10;Z2F5MmNyUCdTOtDPqOll7IYhZjj2rGh9Mm/DKF98E1wslykJtWRZWJuN5bF0xCwC+jQ8M2ePqAek&#10;6x5OkmLlK/DH3Pint8tdQAoSMxHfEc0j7KjDxO3xzUShv7ynrMvLXvwBAAD//wMAUEsDBBQABgAI&#10;AAAAIQD82XCE2gAAAAQBAAAPAAAAZHJzL2Rvd25yZXYueG1sTI/NbsIwEITvlfoO1lbqrTiAiFCI&#10;gxD9Ua8NSO1xEy9xRLwOsYH07Wt6aS8rjWY0822+Hm0nLjT41rGC6SQBQVw73XKjYL97fVqC8AFZ&#10;Y+eYFHyTh3Vxf5djpt2VP+hShkbEEvYZKjAh9JmUvjZk0U9cTxy9gxsshiiHRuoBr7HcdnKWJKm0&#10;2HJcMNjT1lB9LM9WQfr8tjH9Z/p1Osz8u6/cMZTuRanHh3GzAhFoDH9huOFHdCgiU+XOrL3oFMRH&#10;wu+9ecl8AaJSsEjnIItc/ocvfgAAAP//AwBQSwECLQAUAAYACAAAACEAtoM4kv4AAADhAQAAEwAA&#10;AAAAAAAAAAAAAAAAAAAAW0NvbnRlbnRfVHlwZXNdLnhtbFBLAQItABQABgAIAAAAIQA4/SH/1gAA&#10;AJQBAAALAAAAAAAAAAAAAAAAAC8BAABfcmVscy8ucmVsc1BLAQItABQABgAIAAAAIQCfCTymEQIA&#10;ACEEAAAOAAAAAAAAAAAAAAAAAC4CAABkcnMvZTJvRG9jLnhtbFBLAQItABQABgAIAAAAIQD82XCE&#10;2gAAAAQBAAAPAAAAAAAAAAAAAAAAAGsEAABkcnMvZG93bnJldi54bWxQSwUGAAAAAAQABADzAAAA&#10;cgUAAAAA&#10;" filled="f" stroked="f">
              <v:textbox style="mso-fit-shape-to-text:t" inset="20pt,0,0,15pt">
                <w:txbxContent>
                  <w:p w14:paraId="3C8600EA" w14:textId="7BDDE3A7" w:rsidR="006146A5" w:rsidRPr="006146A5" w:rsidRDefault="006146A5" w:rsidP="006146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46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2A05" w14:textId="77777777" w:rsidR="00EB31D6" w:rsidRDefault="00EB31D6" w:rsidP="006146A5">
      <w:pPr>
        <w:bidi/>
        <w:spacing w:after="0" w:line="240" w:lineRule="auto"/>
      </w:pPr>
      <w:r>
        <w:separator/>
      </w:r>
    </w:p>
  </w:footnote>
  <w:footnote w:type="continuationSeparator" w:id="0">
    <w:p w14:paraId="079E3693" w14:textId="77777777" w:rsidR="00EB31D6" w:rsidRDefault="00EB31D6" w:rsidP="004B2FC6">
      <w:pPr>
        <w:spacing w:after="0" w:line="240" w:lineRule="auto"/>
      </w:pPr>
      <w:r>
        <w:continuationSeparator/>
      </w:r>
    </w:p>
  </w:footnote>
  <w:footnote w:id="1">
    <w:p w14:paraId="0E98DB88" w14:textId="3AA6B95B" w:rsidR="00556683" w:rsidRPr="004C79E8" w:rsidRDefault="004B2FC6" w:rsidP="00556683">
      <w:pPr>
        <w:pStyle w:val="FootnoteText"/>
        <w:bidi/>
        <w:jc w:val="both"/>
        <w:rPr>
          <w:rFonts w:ascii="Arabic Typesetting" w:hAnsi="Arabic Typesetting" w:cs="Arabic Typesetting"/>
          <w:sz w:val="32"/>
          <w:szCs w:val="32"/>
          <w:rtl/>
          <w:lang w:val="en-US"/>
        </w:rPr>
      </w:pPr>
      <w:r w:rsidRPr="004C79E8">
        <w:rPr>
          <w:rStyle w:val="FootnoteReference"/>
          <w:rFonts w:ascii="Arabic Typesetting" w:hAnsi="Arabic Typesetting" w:cs="Arabic Typesetting"/>
          <w:sz w:val="32"/>
          <w:szCs w:val="32"/>
        </w:rPr>
        <w:footnoteRef/>
      </w:r>
      <w:r w:rsidRPr="004C79E8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 xml:space="preserve"> تُعدّ الصفقة الكبرى مجموعة من الالتزامات التي تعهدت بها مجموعة من المانحين الرئيسيين ووكالات </w:t>
      </w:r>
      <w:r w:rsidR="00FF7342" w:rsidRPr="004C79E8">
        <w:rPr>
          <w:rFonts w:ascii="Arabic Typesetting" w:hAnsi="Arabic Typesetting" w:cs="Arabic Typesetting" w:hint="cs"/>
          <w:sz w:val="32"/>
          <w:szCs w:val="32"/>
          <w:rtl/>
          <w:lang w:val="en-US"/>
        </w:rPr>
        <w:t>المعونة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 xml:space="preserve"> الرئيسية في إطار مؤتمر القمة العالمي للعمل الإنساني في عام </w:t>
      </w:r>
      <w:r w:rsidRPr="004C79E8">
        <w:rPr>
          <w:rFonts w:ascii="Arabic Typesetting" w:hAnsi="Arabic Typesetting" w:cs="Arabic Typesetting"/>
          <w:sz w:val="32"/>
          <w:szCs w:val="32"/>
        </w:rPr>
        <w:t>2016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 xml:space="preserve"> من أجل </w:t>
      </w:r>
      <w:r w:rsidR="004C79E8" w:rsidRPr="004C79E8">
        <w:rPr>
          <w:rFonts w:ascii="Arabic Typesetting" w:hAnsi="Arabic Typesetting" w:cs="Arabic Typesetting" w:hint="cs"/>
          <w:sz w:val="32"/>
          <w:szCs w:val="32"/>
          <w:rtl/>
          <w:lang w:val="en-US"/>
        </w:rPr>
        <w:t xml:space="preserve">جعل المعونة 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>"محلي</w:t>
      </w:r>
      <w:r w:rsidR="004C79E8" w:rsidRPr="004C79E8">
        <w:rPr>
          <w:rFonts w:ascii="Arabic Typesetting" w:hAnsi="Arabic Typesetting" w:cs="Arabic Typesetting" w:hint="cs"/>
          <w:sz w:val="32"/>
          <w:szCs w:val="32"/>
          <w:rtl/>
          <w:lang w:val="en-US"/>
        </w:rPr>
        <w:t>ة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 xml:space="preserve"> قدر الإمكان ودولي</w:t>
      </w:r>
      <w:r w:rsidR="004C79E8" w:rsidRPr="004C79E8">
        <w:rPr>
          <w:rFonts w:ascii="Arabic Typesetting" w:hAnsi="Arabic Typesetting" w:cs="Arabic Typesetting" w:hint="cs"/>
          <w:sz w:val="32"/>
          <w:szCs w:val="32"/>
          <w:rtl/>
          <w:lang w:val="en-US"/>
        </w:rPr>
        <w:t>ة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 xml:space="preserve"> حسب الضرورة". ووفقا للاتفاق </w:t>
      </w:r>
      <w:r w:rsidR="00FF7342" w:rsidRPr="004C79E8">
        <w:rPr>
          <w:rFonts w:ascii="Arabic Typesetting" w:hAnsi="Arabic Typesetting" w:cs="Arabic Typesetting" w:hint="cs"/>
          <w:sz w:val="32"/>
          <w:szCs w:val="32"/>
          <w:rtl/>
          <w:lang w:val="en-US"/>
        </w:rPr>
        <w:t>الذي توصل إليه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 xml:space="preserve"> موقّع</w:t>
      </w:r>
      <w:r w:rsidR="00FF7342" w:rsidRPr="004C79E8">
        <w:rPr>
          <w:rFonts w:ascii="Arabic Typesetting" w:hAnsi="Arabic Typesetting" w:cs="Arabic Typesetting" w:hint="cs"/>
          <w:sz w:val="32"/>
          <w:szCs w:val="32"/>
          <w:rtl/>
          <w:lang w:val="en-US"/>
        </w:rPr>
        <w:t>و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 xml:space="preserve"> الصفقة الكبرى، تُعرَّف الجهات الفاعلة المحلية والوطنية </w:t>
      </w:r>
      <w:r w:rsidR="00FF7342" w:rsidRPr="004C79E8">
        <w:rPr>
          <w:rFonts w:ascii="Arabic Typesetting" w:hAnsi="Arabic Typesetting" w:cs="Arabic Typesetting" w:hint="cs"/>
          <w:sz w:val="32"/>
          <w:szCs w:val="32"/>
          <w:rtl/>
          <w:lang w:val="en-US"/>
        </w:rPr>
        <w:t>على النحو التالي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>: (</w:t>
      </w:r>
      <w:r w:rsidRPr="004C79E8">
        <w:rPr>
          <w:rFonts w:ascii="Arabic Typesetting" w:hAnsi="Arabic Typesetting" w:cs="Arabic Typesetting"/>
          <w:sz w:val="32"/>
          <w:szCs w:val="32"/>
        </w:rPr>
        <w:t>1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 xml:space="preserve">) الجهات الفاعلة المحلية والوطنية </w:t>
      </w:r>
      <w:r w:rsidR="00A15445" w:rsidRPr="004C79E8">
        <w:rPr>
          <w:rFonts w:ascii="Arabic Typesetting" w:hAnsi="Arabic Typesetting" w:cs="Arabic Typesetting" w:hint="cs"/>
          <w:sz w:val="32"/>
          <w:szCs w:val="32"/>
          <w:rtl/>
          <w:lang w:val="en-US"/>
        </w:rPr>
        <w:t>غير الحكومية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 xml:space="preserve"> – المنظمات العاملة في مجال الإغاثة </w:t>
      </w:r>
      <w:r w:rsidR="00556683" w:rsidRPr="004C79E8">
        <w:rPr>
          <w:rFonts w:ascii="Arabic Typesetting" w:hAnsi="Arabic Typesetting" w:cs="Arabic Typesetting" w:hint="cs"/>
          <w:sz w:val="32"/>
          <w:szCs w:val="32"/>
          <w:rtl/>
          <w:lang w:val="en-US"/>
        </w:rPr>
        <w:t>والتي يقع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 xml:space="preserve"> مقرها الرئيسي في </w:t>
      </w:r>
      <w:r w:rsidR="00556683" w:rsidRPr="004C79E8">
        <w:rPr>
          <w:rFonts w:ascii="Arabic Typesetting" w:hAnsi="Arabic Typesetting" w:cs="Arabic Typesetting" w:hint="cs"/>
          <w:sz w:val="32"/>
          <w:szCs w:val="32"/>
          <w:rtl/>
          <w:lang w:val="en-US"/>
        </w:rPr>
        <w:t>بلدها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 xml:space="preserve"> المنتفع بالمعونة وتمارس عملها فيه ولا تتبع أية منظمة غير حكومية</w:t>
      </w:r>
      <w:r w:rsidR="00556683"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 xml:space="preserve"> دولية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>؛ (</w:t>
      </w:r>
      <w:r w:rsidRPr="004C79E8">
        <w:rPr>
          <w:rFonts w:ascii="Arabic Typesetting" w:hAnsi="Arabic Typesetting" w:cs="Arabic Typesetting"/>
          <w:sz w:val="32"/>
          <w:szCs w:val="32"/>
        </w:rPr>
        <w:t>2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 xml:space="preserve">) الجهات الفاعلة </w:t>
      </w:r>
      <w:r w:rsidR="00556683" w:rsidRPr="004C79E8">
        <w:rPr>
          <w:rFonts w:ascii="Arabic Typesetting" w:hAnsi="Arabic Typesetting" w:cs="Arabic Typesetting" w:hint="cs"/>
          <w:sz w:val="32"/>
          <w:szCs w:val="32"/>
          <w:rtl/>
          <w:lang w:val="en-US"/>
        </w:rPr>
        <w:t xml:space="preserve">الحكومية 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>الوطنية ودون الوطنية</w:t>
      </w:r>
      <w:r w:rsidR="00556683" w:rsidRPr="004C79E8">
        <w:rPr>
          <w:rFonts w:ascii="Arabic Typesetting" w:hAnsi="Arabic Typesetting" w:cs="Arabic Typesetting" w:hint="cs"/>
          <w:sz w:val="32"/>
          <w:szCs w:val="32"/>
          <w:rtl/>
          <w:lang w:val="en-US"/>
        </w:rPr>
        <w:t xml:space="preserve"> 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>– سلطات الدولة في البلد المتضرر المنتفع بالمعونة التي تشارك في أنشطة الإغاثة سواء على الصعيد المحلي أو</w:t>
      </w:r>
      <w:r w:rsidR="006146A5" w:rsidRPr="004C79E8">
        <w:rPr>
          <w:rFonts w:ascii="Arabic Typesetting" w:hAnsi="Arabic Typesetting" w:cs="Arabic Typesetting" w:hint="cs"/>
          <w:sz w:val="32"/>
          <w:szCs w:val="32"/>
          <w:rtl/>
          <w:lang w:val="en-US"/>
        </w:rPr>
        <w:t> </w:t>
      </w:r>
      <w:r w:rsidRPr="004C79E8">
        <w:rPr>
          <w:rFonts w:ascii="Arabic Typesetting" w:hAnsi="Arabic Typesetting" w:cs="Arabic Typesetting"/>
          <w:sz w:val="32"/>
          <w:szCs w:val="32"/>
          <w:rtl/>
          <w:lang w:val="en-US"/>
        </w:rPr>
        <w:t>الوطني:</w:t>
      </w:r>
    </w:p>
    <w:p w14:paraId="58F5B520" w14:textId="0D8C8F70" w:rsidR="004B2FC6" w:rsidRPr="002B2804" w:rsidRDefault="00F31E05" w:rsidP="002B2804">
      <w:pPr>
        <w:pStyle w:val="FootnoteText"/>
        <w:bidi/>
        <w:jc w:val="both"/>
        <w:rPr>
          <w:rFonts w:ascii="Arabic Typesetting" w:hAnsi="Arabic Typesetting" w:cs="Arabic Typesetting"/>
          <w:sz w:val="32"/>
          <w:szCs w:val="32"/>
          <w:rtl/>
          <w:lang w:val="en-US"/>
        </w:rPr>
      </w:pPr>
      <w:hyperlink r:id="rId1" w:history="1">
        <w:r w:rsidRPr="002B2804">
          <w:rPr>
            <w:rStyle w:val="Hyperlink"/>
            <w:rFonts w:ascii="Arabic Typesetting" w:hAnsi="Arabic Typesetting" w:cs="Arabic Typesetting"/>
            <w:sz w:val="32"/>
            <w:szCs w:val="32"/>
          </w:rPr>
          <w:t>https://gblocalisation.ifrc.org/wp-content/uploads/2018/06/categories_for_tracking_direct_as_possible_funding_to_local_and_national_actors_003.pdf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7EC"/>
    <w:multiLevelType w:val="hybridMultilevel"/>
    <w:tmpl w:val="2A241A9E"/>
    <w:lvl w:ilvl="0" w:tplc="8916A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B29D"/>
    <w:multiLevelType w:val="hybridMultilevel"/>
    <w:tmpl w:val="1EAAE108"/>
    <w:lvl w:ilvl="0" w:tplc="81004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88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0F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AF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20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0E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6F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E4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0F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5788"/>
    <w:multiLevelType w:val="multilevel"/>
    <w:tmpl w:val="731A317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74B7AEB"/>
    <w:multiLevelType w:val="hybridMultilevel"/>
    <w:tmpl w:val="426690BE"/>
    <w:lvl w:ilvl="0" w:tplc="5C86E5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739FB7"/>
    <w:multiLevelType w:val="hybridMultilevel"/>
    <w:tmpl w:val="29C83C3E"/>
    <w:lvl w:ilvl="0" w:tplc="73F4E3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4CC7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CD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64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00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C4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2C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0C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65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D1581"/>
    <w:multiLevelType w:val="hybridMultilevel"/>
    <w:tmpl w:val="C0285E92"/>
    <w:lvl w:ilvl="0" w:tplc="802A5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49070">
    <w:abstractNumId w:val="4"/>
  </w:num>
  <w:num w:numId="2" w16cid:durableId="499003937">
    <w:abstractNumId w:val="1"/>
  </w:num>
  <w:num w:numId="3" w16cid:durableId="1474758244">
    <w:abstractNumId w:val="2"/>
  </w:num>
  <w:num w:numId="4" w16cid:durableId="1048797485">
    <w:abstractNumId w:val="0"/>
  </w:num>
  <w:num w:numId="5" w16cid:durableId="998657337">
    <w:abstractNumId w:val="5"/>
  </w:num>
  <w:num w:numId="6" w16cid:durableId="1841892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3"/>
    <w:rsid w:val="00052A6F"/>
    <w:rsid w:val="00095E4A"/>
    <w:rsid w:val="000967A3"/>
    <w:rsid w:val="000B3310"/>
    <w:rsid w:val="000B4F7E"/>
    <w:rsid w:val="000D2385"/>
    <w:rsid w:val="000D574D"/>
    <w:rsid w:val="000E53F9"/>
    <w:rsid w:val="00177278"/>
    <w:rsid w:val="001B040C"/>
    <w:rsid w:val="001F03A8"/>
    <w:rsid w:val="001F58DF"/>
    <w:rsid w:val="002A6667"/>
    <w:rsid w:val="002B2804"/>
    <w:rsid w:val="002C535A"/>
    <w:rsid w:val="002D40D1"/>
    <w:rsid w:val="002D4558"/>
    <w:rsid w:val="003227FC"/>
    <w:rsid w:val="003437DB"/>
    <w:rsid w:val="003A045D"/>
    <w:rsid w:val="003A3652"/>
    <w:rsid w:val="003B52E9"/>
    <w:rsid w:val="0041030D"/>
    <w:rsid w:val="00433C21"/>
    <w:rsid w:val="004B2CFB"/>
    <w:rsid w:val="004B2FC6"/>
    <w:rsid w:val="004C79E8"/>
    <w:rsid w:val="004E44BA"/>
    <w:rsid w:val="004F5CE9"/>
    <w:rsid w:val="005131DC"/>
    <w:rsid w:val="005172EB"/>
    <w:rsid w:val="00556683"/>
    <w:rsid w:val="0056348F"/>
    <w:rsid w:val="005A6447"/>
    <w:rsid w:val="005F7A36"/>
    <w:rsid w:val="006146A5"/>
    <w:rsid w:val="00636EF5"/>
    <w:rsid w:val="00647110"/>
    <w:rsid w:val="0064729D"/>
    <w:rsid w:val="0066782D"/>
    <w:rsid w:val="0067040B"/>
    <w:rsid w:val="00680346"/>
    <w:rsid w:val="006E67CD"/>
    <w:rsid w:val="007025F9"/>
    <w:rsid w:val="00714C54"/>
    <w:rsid w:val="007300FF"/>
    <w:rsid w:val="00732FD7"/>
    <w:rsid w:val="00752EAC"/>
    <w:rsid w:val="00754AC0"/>
    <w:rsid w:val="007632E5"/>
    <w:rsid w:val="00771DBD"/>
    <w:rsid w:val="007A5D1E"/>
    <w:rsid w:val="007B75F3"/>
    <w:rsid w:val="00834E6C"/>
    <w:rsid w:val="008A5898"/>
    <w:rsid w:val="008F028F"/>
    <w:rsid w:val="008F16B3"/>
    <w:rsid w:val="00917876"/>
    <w:rsid w:val="00924621"/>
    <w:rsid w:val="009338C3"/>
    <w:rsid w:val="0099264E"/>
    <w:rsid w:val="009D3D99"/>
    <w:rsid w:val="00A15445"/>
    <w:rsid w:val="00A23CEF"/>
    <w:rsid w:val="00A36EE8"/>
    <w:rsid w:val="00A5726B"/>
    <w:rsid w:val="00A864D8"/>
    <w:rsid w:val="00A9313E"/>
    <w:rsid w:val="00AB2E79"/>
    <w:rsid w:val="00AF7B0A"/>
    <w:rsid w:val="00B13490"/>
    <w:rsid w:val="00B2597D"/>
    <w:rsid w:val="00B33A49"/>
    <w:rsid w:val="00B40FB2"/>
    <w:rsid w:val="00B4186A"/>
    <w:rsid w:val="00B905C1"/>
    <w:rsid w:val="00BA3B34"/>
    <w:rsid w:val="00BE1F2D"/>
    <w:rsid w:val="00C26045"/>
    <w:rsid w:val="00C9328C"/>
    <w:rsid w:val="00D82921"/>
    <w:rsid w:val="00DA70C8"/>
    <w:rsid w:val="00DE0737"/>
    <w:rsid w:val="00DE7C5F"/>
    <w:rsid w:val="00E40E1E"/>
    <w:rsid w:val="00E642EC"/>
    <w:rsid w:val="00E84A90"/>
    <w:rsid w:val="00EB31D6"/>
    <w:rsid w:val="00EE6343"/>
    <w:rsid w:val="00EF4603"/>
    <w:rsid w:val="00F028FB"/>
    <w:rsid w:val="00F05CFF"/>
    <w:rsid w:val="00F17A1F"/>
    <w:rsid w:val="00F31E05"/>
    <w:rsid w:val="00F459D8"/>
    <w:rsid w:val="00F512E0"/>
    <w:rsid w:val="00F71F04"/>
    <w:rsid w:val="00F91348"/>
    <w:rsid w:val="00FC4EE9"/>
    <w:rsid w:val="00FD0D89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F24309"/>
  <w15:chartTrackingRefBased/>
  <w15:docId w15:val="{CACF9518-42C1-42C1-BFBD-66D2214E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7A3"/>
    <w:rPr>
      <w:kern w:val="2"/>
      <w:lang w:val="fi-FI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FF734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0"/>
      <w:szCs w:val="24"/>
      <w:lang w:val="fr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7A3"/>
    <w:pPr>
      <w:ind w:left="720"/>
      <w:contextualSpacing/>
    </w:pPr>
  </w:style>
  <w:style w:type="paragraph" w:styleId="NoSpacing">
    <w:name w:val="No Spacing"/>
    <w:uiPriority w:val="1"/>
    <w:qFormat/>
    <w:rsid w:val="000967A3"/>
    <w:pPr>
      <w:spacing w:after="0" w:line="240" w:lineRule="auto"/>
    </w:pPr>
    <w:rPr>
      <w:kern w:val="2"/>
      <w:lang w:val="fi-FI"/>
      <w14:ligatures w14:val="standardContextual"/>
    </w:rPr>
  </w:style>
  <w:style w:type="paragraph" w:styleId="NormalWeb">
    <w:name w:val="Normal (Web)"/>
    <w:basedOn w:val="Normal"/>
    <w:uiPriority w:val="99"/>
    <w:unhideWhenUsed/>
    <w:rsid w:val="0009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Text">
    <w:name w:val="Default Text"/>
    <w:basedOn w:val="Normal"/>
    <w:rsid w:val="004B2F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styleId="Hyperlink">
    <w:name w:val="Hyperlink"/>
    <w:rsid w:val="004B2FC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B2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2FC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4B2FC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B2F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FC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E05"/>
    <w:rPr>
      <w:kern w:val="2"/>
      <w:lang w:val="fi-F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3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E05"/>
    <w:rPr>
      <w:kern w:val="2"/>
      <w:lang w:val="fi-FI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FF7342"/>
    <w:rPr>
      <w:rFonts w:ascii="Arial" w:eastAsia="Times New Roman" w:hAnsi="Arial" w:cs="Times New Roman"/>
      <w:b/>
      <w:bCs/>
      <w:szCs w:val="24"/>
      <w:lang w:val="fr-CH"/>
    </w:rPr>
  </w:style>
  <w:style w:type="paragraph" w:customStyle="1" w:styleId="Indent1">
    <w:name w:val="Indent 1"/>
    <w:basedOn w:val="Normal"/>
    <w:rsid w:val="00FF7342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overflowPunct w:val="0"/>
      <w:autoSpaceDE w:val="0"/>
      <w:autoSpaceDN w:val="0"/>
      <w:adjustRightInd w:val="0"/>
      <w:spacing w:after="0" w:line="240" w:lineRule="auto"/>
      <w:ind w:left="396" w:hanging="396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F7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342"/>
    <w:rPr>
      <w:kern w:val="2"/>
      <w:sz w:val="20"/>
      <w:szCs w:val="20"/>
      <w:lang w:val="fi-FI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342"/>
    <w:rPr>
      <w:b/>
      <w:bCs/>
      <w:kern w:val="2"/>
      <w:sz w:val="20"/>
      <w:szCs w:val="20"/>
      <w:lang w:val="fi-FI"/>
      <w14:ligatures w14:val="standardContextual"/>
    </w:rPr>
  </w:style>
  <w:style w:type="paragraph" w:styleId="Revision">
    <w:name w:val="Revision"/>
    <w:hidden/>
    <w:uiPriority w:val="99"/>
    <w:semiHidden/>
    <w:rsid w:val="004C79E8"/>
    <w:pPr>
      <w:spacing w:after="0" w:line="240" w:lineRule="auto"/>
    </w:pPr>
    <w:rPr>
      <w:kern w:val="2"/>
      <w:lang w:val="fi-FI"/>
      <w14:ligatures w14:val="standardContextual"/>
    </w:rPr>
  </w:style>
  <w:style w:type="paragraph" w:customStyle="1" w:styleId="BodySingle">
    <w:name w:val="Body Single"/>
    <w:basedOn w:val="Normal"/>
    <w:rsid w:val="0017727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eragencystandingcommittee.org/sites/default/files/migrated/2022-08/Outcome%20Paper%20Towards%20Co-ownership%20-%20Caucus%20on%20Intermediaries%20-%20August%20202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blocalisation.ifrc.org/wp-content/uploads/2018/06/categories_for_tracking_direct_as_possible_funding_to_local_and_national_actors_0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e9d52c-0e59-4906-b725-6ee576ebff1d">
      <Terms xmlns="http://schemas.microsoft.com/office/infopath/2007/PartnerControls"/>
    </lcf76f155ced4ddcb4097134ff3c332f>
    <TaxCatchAll xmlns="26988bcc-216d-4c68-a0cd-417358c81203" xsi:nil="true"/>
    <RequestID xmlns="6be9d52c-0e59-4906-b725-6ee576ebff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EBD2B1C90D1449AB303A16AF0852D" ma:contentTypeVersion="19" ma:contentTypeDescription="Create a new document." ma:contentTypeScope="" ma:versionID="eda952e8b0f689489c8f5d01e5429ab1">
  <xsd:schema xmlns:xsd="http://www.w3.org/2001/XMLSchema" xmlns:xs="http://www.w3.org/2001/XMLSchema" xmlns:p="http://schemas.microsoft.com/office/2006/metadata/properties" xmlns:ns2="6be9d52c-0e59-4906-b725-6ee576ebff1d" xmlns:ns3="26988bcc-216d-4c68-a0cd-417358c81203" targetNamespace="http://schemas.microsoft.com/office/2006/metadata/properties" ma:root="true" ma:fieldsID="213a3780c5acef1357286f2d085a202c" ns2:_="" ns3:_="">
    <xsd:import namespace="6be9d52c-0e59-4906-b725-6ee576ebff1d"/>
    <xsd:import namespace="26988bcc-216d-4c68-a0cd-417358c81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questI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9d52c-0e59-4906-b725-6ee576ebf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questID" ma:index="18" nillable="true" ma:displayName="RequestID" ma:internalName="RequestID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88bcc-216d-4c68-a0cd-417358c81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f2fb5b-53ec-41e1-87a7-8d82855348e6}" ma:internalName="TaxCatchAll" ma:showField="CatchAllData" ma:web="26988bcc-216d-4c68-a0cd-417358c81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48173-5870-401F-8EA1-232660E9F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04201-BCFD-4D72-A3A3-FBF2364F5752}">
  <ds:schemaRefs>
    <ds:schemaRef ds:uri="http://schemas.microsoft.com/office/2006/metadata/properties"/>
    <ds:schemaRef ds:uri="6be9d52c-0e59-4906-b725-6ee576ebff1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6988bcc-216d-4c68-a0cd-417358c812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493614-BF82-4594-B3F4-042C6F12F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9d52c-0e59-4906-b725-6ee576ebff1d"/>
    <ds:schemaRef ds:uri="26988bcc-216d-4c68-a0cd-417358c81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7B659-383A-48E9-9B9A-D353BF13A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7700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Youssef</dc:creator>
  <cp:keywords/>
  <dc:description/>
  <cp:lastModifiedBy>Eva Zanardi</cp:lastModifiedBy>
  <cp:revision>2</cp:revision>
  <dcterms:created xsi:type="dcterms:W3CDTF">2025-06-10T08:27:00Z</dcterms:created>
  <dcterms:modified xsi:type="dcterms:W3CDTF">2025-06-10T08:27:00Z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0x010100847EBD2B1C90D1449AB303A16AF0852D</vt:lpwstr>
  </property>
  <property fmtid="{D5CDD505-2E9C-101B-9397-08002B2CF9AE}" pid="3" name="ClassificationContentMarkingFooterShapeIds">
    <vt:lpwstr>e38b448,2c1bdaf9,5a6e7f72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2024-10-28T16:12:47Z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f97cab11-38b7-49ee-a872-96681bb1df4c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</Properties>
</file>