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E4238" w14:textId="25052D0F" w:rsidR="00A85212" w:rsidRPr="00A85212" w:rsidRDefault="00A85212" w:rsidP="00A85212">
      <w:pPr>
        <w:spacing w:after="240" w:line="240" w:lineRule="auto"/>
        <w:jc w:val="center"/>
        <w:rPr>
          <w:b/>
          <w:bCs/>
          <w:sz w:val="28"/>
          <w:szCs w:val="28"/>
        </w:rPr>
      </w:pPr>
      <w:r w:rsidRPr="00A85212">
        <w:rPr>
          <w:b/>
          <w:bCs/>
          <w:sz w:val="28"/>
          <w:szCs w:val="28"/>
        </w:rPr>
        <w:t xml:space="preserve">34IC </w:t>
      </w:r>
      <w:r w:rsidR="00AF5D78" w:rsidRPr="00A85212">
        <w:rPr>
          <w:b/>
          <w:bCs/>
          <w:sz w:val="28"/>
          <w:szCs w:val="28"/>
        </w:rPr>
        <w:t>Open Pledge on</w:t>
      </w:r>
    </w:p>
    <w:p w14:paraId="7F633A10" w14:textId="089DB3BE" w:rsidR="000D1D26" w:rsidRPr="00A85212" w:rsidRDefault="00AF5D78" w:rsidP="00A85212">
      <w:pPr>
        <w:spacing w:after="240" w:line="240" w:lineRule="auto"/>
        <w:jc w:val="center"/>
        <w:rPr>
          <w:b/>
          <w:bCs/>
          <w:sz w:val="28"/>
          <w:szCs w:val="28"/>
        </w:rPr>
      </w:pPr>
      <w:r w:rsidRPr="00A85212">
        <w:rPr>
          <w:b/>
          <w:bCs/>
          <w:sz w:val="28"/>
          <w:szCs w:val="28"/>
        </w:rPr>
        <w:t>Strengthening Localisation</w:t>
      </w:r>
      <w:r w:rsidR="00A85212" w:rsidRPr="00A85212">
        <w:rPr>
          <w:b/>
          <w:bCs/>
          <w:sz w:val="28"/>
          <w:szCs w:val="28"/>
        </w:rPr>
        <w:t xml:space="preserve"> through Better Partnerships</w:t>
      </w:r>
    </w:p>
    <w:p w14:paraId="7601CEC3" w14:textId="77777777" w:rsidR="00E5294C" w:rsidRDefault="00E5294C" w:rsidP="00E5294C">
      <w:pPr>
        <w:spacing w:after="240" w:line="240" w:lineRule="auto"/>
        <w:rPr>
          <w:b/>
          <w:bCs/>
          <w:sz w:val="24"/>
          <w:szCs w:val="24"/>
        </w:rPr>
      </w:pPr>
    </w:p>
    <w:p w14:paraId="36D63759" w14:textId="046A1DB1" w:rsidR="00A85212" w:rsidRDefault="000D1D26" w:rsidP="00E5294C">
      <w:pPr>
        <w:spacing w:after="240" w:line="240" w:lineRule="auto"/>
        <w:rPr>
          <w:b/>
          <w:bCs/>
          <w:sz w:val="24"/>
          <w:szCs w:val="24"/>
        </w:rPr>
      </w:pPr>
      <w:r w:rsidRPr="00A85212">
        <w:rPr>
          <w:b/>
          <w:bCs/>
          <w:sz w:val="24"/>
          <w:szCs w:val="24"/>
        </w:rPr>
        <w:t xml:space="preserve">Proposed by: </w:t>
      </w:r>
      <w:r w:rsidR="005C1AD3" w:rsidRPr="00A85212">
        <w:rPr>
          <w:b/>
          <w:bCs/>
          <w:sz w:val="24"/>
          <w:szCs w:val="24"/>
        </w:rPr>
        <w:t xml:space="preserve">Leaders of </w:t>
      </w:r>
      <w:r w:rsidR="00A85212">
        <w:rPr>
          <w:b/>
          <w:bCs/>
          <w:sz w:val="24"/>
          <w:szCs w:val="24"/>
        </w:rPr>
        <w:t xml:space="preserve">the </w:t>
      </w:r>
      <w:r w:rsidR="005C1AD3" w:rsidRPr="00A85212">
        <w:rPr>
          <w:b/>
          <w:bCs/>
          <w:sz w:val="24"/>
          <w:szCs w:val="24"/>
        </w:rPr>
        <w:t xml:space="preserve">Pacific Red </w:t>
      </w:r>
      <w:proofErr w:type="gramStart"/>
      <w:r w:rsidR="005C1AD3" w:rsidRPr="00A85212">
        <w:rPr>
          <w:b/>
          <w:bCs/>
          <w:sz w:val="24"/>
          <w:szCs w:val="24"/>
        </w:rPr>
        <w:t>Cross National</w:t>
      </w:r>
      <w:proofErr w:type="gramEnd"/>
      <w:r w:rsidR="005C1AD3" w:rsidRPr="00A85212">
        <w:rPr>
          <w:b/>
          <w:bCs/>
          <w:sz w:val="24"/>
          <w:szCs w:val="24"/>
        </w:rPr>
        <w:t xml:space="preserve"> Societies</w:t>
      </w:r>
    </w:p>
    <w:p w14:paraId="4B1A823E" w14:textId="1C3E2A27" w:rsidR="00A85212" w:rsidRDefault="000D1D26" w:rsidP="00E5294C">
      <w:pPr>
        <w:spacing w:after="240" w:line="240" w:lineRule="auto"/>
        <w:rPr>
          <w:b/>
          <w:bCs/>
          <w:sz w:val="24"/>
          <w:szCs w:val="24"/>
        </w:rPr>
      </w:pPr>
      <w:r w:rsidRPr="00A85212">
        <w:rPr>
          <w:b/>
          <w:bCs/>
          <w:sz w:val="24"/>
          <w:szCs w:val="24"/>
        </w:rPr>
        <w:t>Contacts:</w:t>
      </w:r>
      <w:r w:rsidR="005C1AD3" w:rsidRPr="00A85212">
        <w:rPr>
          <w:b/>
          <w:bCs/>
          <w:sz w:val="24"/>
          <w:szCs w:val="24"/>
        </w:rPr>
        <w:t xml:space="preserve"> </w:t>
      </w:r>
      <w:r w:rsidR="001A00D5">
        <w:rPr>
          <w:b/>
          <w:bCs/>
          <w:sz w:val="24"/>
          <w:szCs w:val="24"/>
        </w:rPr>
        <w:t xml:space="preserve">Drew Havea Tonga Red Cross </w:t>
      </w:r>
    </w:p>
    <w:p w14:paraId="68E418F3" w14:textId="657CEDB8" w:rsidR="00E5294C" w:rsidRPr="00A85212" w:rsidRDefault="000D1D26" w:rsidP="00E5294C">
      <w:pPr>
        <w:spacing w:after="240" w:line="240" w:lineRule="auto"/>
        <w:rPr>
          <w:b/>
          <w:bCs/>
          <w:sz w:val="24"/>
          <w:szCs w:val="24"/>
        </w:rPr>
      </w:pPr>
      <w:r w:rsidRPr="00A85212">
        <w:rPr>
          <w:b/>
          <w:bCs/>
          <w:sz w:val="24"/>
          <w:szCs w:val="24"/>
        </w:rPr>
        <w:t>Email:</w:t>
      </w:r>
      <w:r w:rsidR="001A00D5" w:rsidRPr="001A00D5">
        <w:rPr>
          <w:b/>
          <w:bCs/>
          <w:sz w:val="24"/>
          <w:szCs w:val="24"/>
        </w:rPr>
        <w:t xml:space="preserve"> </w:t>
      </w:r>
      <w:r w:rsidR="001A00D5">
        <w:rPr>
          <w:b/>
          <w:bCs/>
          <w:sz w:val="24"/>
          <w:szCs w:val="24"/>
        </w:rPr>
        <w:t>drewhavea1955@gmail.com</w:t>
      </w:r>
      <w:r w:rsidRPr="00A85212">
        <w:rPr>
          <w:b/>
          <w:bCs/>
          <w:sz w:val="24"/>
          <w:szCs w:val="24"/>
        </w:rPr>
        <w:br/>
      </w:r>
    </w:p>
    <w:tbl>
      <w:tblPr>
        <w:tblStyle w:val="TableGrid"/>
        <w:tblW w:w="10201" w:type="dxa"/>
        <w:tblLayout w:type="fixed"/>
        <w:tblLook w:val="06A0" w:firstRow="1" w:lastRow="0" w:firstColumn="1" w:lastColumn="0" w:noHBand="1" w:noVBand="1"/>
      </w:tblPr>
      <w:tblGrid>
        <w:gridCol w:w="10201"/>
      </w:tblGrid>
      <w:tr w:rsidR="00E70DBA" w:rsidRPr="00442794" w14:paraId="71B0F5C8" w14:textId="38B4C3B5" w:rsidTr="00E70DBA">
        <w:trPr>
          <w:trHeight w:val="300"/>
        </w:trPr>
        <w:tc>
          <w:tcPr>
            <w:tcW w:w="10201" w:type="dxa"/>
            <w:tcBorders>
              <w:top w:val="single" w:sz="4" w:space="0" w:color="auto"/>
              <w:left w:val="single" w:sz="4" w:space="0" w:color="auto"/>
              <w:bottom w:val="single" w:sz="4" w:space="0" w:color="auto"/>
              <w:right w:val="single" w:sz="4" w:space="0" w:color="auto"/>
            </w:tcBorders>
          </w:tcPr>
          <w:p w14:paraId="1E25F173" w14:textId="65847A6C" w:rsidR="00E70DBA" w:rsidRPr="00AF5D78" w:rsidRDefault="00E70DBA" w:rsidP="00AF5D78">
            <w:pPr>
              <w:spacing w:after="60"/>
              <w:rPr>
                <w:b/>
                <w:bCs/>
                <w:sz w:val="28"/>
                <w:szCs w:val="28"/>
              </w:rPr>
            </w:pPr>
            <w:r w:rsidRPr="00AF5D78">
              <w:rPr>
                <w:b/>
                <w:bCs/>
                <w:sz w:val="28"/>
                <w:szCs w:val="28"/>
              </w:rPr>
              <w:t>Pledge objectives</w:t>
            </w:r>
          </w:p>
          <w:p w14:paraId="5D8BD12F" w14:textId="07AD1F3A" w:rsidR="00ED3DCA" w:rsidRPr="001E27E2" w:rsidRDefault="00ED3DCA" w:rsidP="00ED3DCA">
            <w:pPr>
              <w:spacing w:after="120"/>
              <w:rPr>
                <w:rFonts w:cs="Arial"/>
              </w:rPr>
            </w:pPr>
            <w:r w:rsidRPr="001E27E2">
              <w:rPr>
                <w:rFonts w:cs="Arial"/>
              </w:rPr>
              <w:t xml:space="preserve">The objective of this pledge </w:t>
            </w:r>
            <w:r w:rsidR="000D3143">
              <w:rPr>
                <w:rFonts w:cs="Arial"/>
              </w:rPr>
              <w:t>is</w:t>
            </w:r>
            <w:r w:rsidRPr="001E27E2">
              <w:rPr>
                <w:rFonts w:cs="Arial"/>
              </w:rPr>
              <w:t xml:space="preserve"> to strengthen the </w:t>
            </w:r>
            <w:r w:rsidR="000D3143">
              <w:rPr>
                <w:rFonts w:cs="Arial"/>
              </w:rPr>
              <w:t xml:space="preserve">commitment of members of the Red Cross Red Crescent Movement and their Auxiliary partners, to actions which demonstrably lead to better localisation.  While this pledge draws on lessons learned by Pacific National Societies and their partners in recent years, </w:t>
            </w:r>
            <w:r w:rsidR="00B66E0F">
              <w:rPr>
                <w:rFonts w:cs="Arial"/>
              </w:rPr>
              <w:t>its</w:t>
            </w:r>
            <w:r w:rsidR="000D3143">
              <w:rPr>
                <w:rFonts w:cs="Arial"/>
              </w:rPr>
              <w:t xml:space="preserve"> objective is to encourage fellow humanitarian actors </w:t>
            </w:r>
            <w:r w:rsidR="00424C71">
              <w:rPr>
                <w:rFonts w:cs="Arial"/>
              </w:rPr>
              <w:t xml:space="preserve">to deliver on </w:t>
            </w:r>
            <w:r w:rsidR="005D1671">
              <w:rPr>
                <w:rFonts w:cs="Arial"/>
              </w:rPr>
              <w:t>specific localization</w:t>
            </w:r>
            <w:r w:rsidR="00424C71">
              <w:rPr>
                <w:rFonts w:cs="Arial"/>
              </w:rPr>
              <w:t xml:space="preserve"> commitments by offering tangible, evidence-based action points for strengthening </w:t>
            </w:r>
            <w:proofErr w:type="gramStart"/>
            <w:r w:rsidR="00424C71">
              <w:rPr>
                <w:rFonts w:cs="Arial"/>
              </w:rPr>
              <w:t>locally-led</w:t>
            </w:r>
            <w:proofErr w:type="gramEnd"/>
            <w:r w:rsidR="00424C71">
              <w:rPr>
                <w:rFonts w:cs="Arial"/>
              </w:rPr>
              <w:t xml:space="preserve"> action</w:t>
            </w:r>
            <w:r w:rsidRPr="001E27E2">
              <w:rPr>
                <w:rFonts w:cs="Arial"/>
              </w:rPr>
              <w:t xml:space="preserve">. The pledge is linked to </w:t>
            </w:r>
            <w:r w:rsidR="00424C71">
              <w:rPr>
                <w:rFonts w:cs="Arial"/>
              </w:rPr>
              <w:t xml:space="preserve">Commission III of </w:t>
            </w:r>
            <w:r w:rsidRPr="001E27E2">
              <w:rPr>
                <w:rFonts w:cs="Arial"/>
              </w:rPr>
              <w:t xml:space="preserve">the 34th International Conference, entitled “Enabling sustainable, </w:t>
            </w:r>
            <w:proofErr w:type="gramStart"/>
            <w:r w:rsidRPr="001E27E2">
              <w:rPr>
                <w:rFonts w:cs="Arial"/>
              </w:rPr>
              <w:t>locally-led</w:t>
            </w:r>
            <w:proofErr w:type="gramEnd"/>
            <w:r w:rsidRPr="001E27E2">
              <w:rPr>
                <w:rFonts w:cs="Arial"/>
              </w:rPr>
              <w:t xml:space="preserve"> action” and further reinforces the implementation of “</w:t>
            </w:r>
            <w:sdt>
              <w:sdtPr>
                <w:rPr>
                  <w:rFonts w:cs="Arial"/>
                </w:rPr>
                <w:id w:val="288178656"/>
                <w:placeholder>
                  <w:docPart w:val="6080B55ADAE53E459EC1949688882D76"/>
                </w:placeholder>
                <w:comboBox>
                  <w:listItem w:value="Choose an item."/>
                  <w:listItem w:displayText="Resolution 1: Toward a universal culture of compliance with international humanitarian law" w:value="Resolution 1: Toward a universal culture of compliance with international humanitarian law"/>
                  <w:listItem w:displayText="Resolution 2: Protecting civilians and other protected persons and objects against the potential human cost of ICT activities during armed conflict" w:value="Resolution 2: Protecting civilians and other protected persons and objects against the potential human cost of ICT activities during armed conflict"/>
                  <w:listItem w:displayText="Resolution 3: Strengthening disaster risk governance through comprehensive disaster laws, policies and plans" w:value="Resolution 3: Strengthening disaster risk governance through comprehensive disaster laws, policies and plans"/>
                  <w:listItem w:displayText="Resolution 4: Empowering local leadership, capacity and delivery in principled humanitarian action and strengthening resilience" w:value="Resolution 4: Empowering local leadership, capacity and delivery in principled humanitarian action and strengthening resilience"/>
                  <w:listItem w:displayText="Resolution 5: Protecting people from the humanitarian impacts of extreme climate and weather events: Working together to strengthen anticipatory action" w:value="Resolution 5: Protecting people from the humanitarian impacts of extreme climate and weather events: Working together to strengthen anticipatory action"/>
                </w:comboBox>
              </w:sdtPr>
              <w:sdtContent>
                <w:r w:rsidRPr="001E27E2">
                  <w:rPr>
                    <w:rFonts w:cs="Arial"/>
                  </w:rPr>
                  <w:t>Resolution 4: Empowering local leadership, capacity and delivery in principled humanitarian action and strengthening resilience</w:t>
                </w:r>
              </w:sdtContent>
            </w:sdt>
            <w:r w:rsidRPr="001E27E2">
              <w:rPr>
                <w:rFonts w:cs="Arial"/>
              </w:rPr>
              <w:t xml:space="preserve">”. </w:t>
            </w:r>
          </w:p>
          <w:p w14:paraId="046C2747" w14:textId="22D78FF5" w:rsidR="00921903" w:rsidRPr="00590C31" w:rsidRDefault="006A16EB" w:rsidP="006F336E">
            <w:pPr>
              <w:spacing w:after="120"/>
              <w:rPr>
                <w:rFonts w:cs="Arial"/>
              </w:rPr>
            </w:pPr>
            <w:r w:rsidRPr="001E27E2">
              <w:rPr>
                <w:rFonts w:cs="Arial"/>
              </w:rPr>
              <w:t>Through the Gr</w:t>
            </w:r>
            <w:r w:rsidR="00637143">
              <w:rPr>
                <w:rFonts w:cs="Arial"/>
              </w:rPr>
              <w:t>and</w:t>
            </w:r>
            <w:r w:rsidRPr="001E27E2">
              <w:rPr>
                <w:rFonts w:cs="Arial"/>
              </w:rPr>
              <w:t xml:space="preserve"> Bargai</w:t>
            </w:r>
            <w:r w:rsidR="005A4F25">
              <w:rPr>
                <w:rFonts w:cs="Arial"/>
              </w:rPr>
              <w:t>n</w:t>
            </w:r>
            <w:r w:rsidR="00E70DBA" w:rsidRPr="00590C31">
              <w:rPr>
                <w:rStyle w:val="FootnoteReference"/>
                <w:rFonts w:cs="Arial"/>
              </w:rPr>
              <w:footnoteReference w:id="2"/>
            </w:r>
            <w:r w:rsidR="0023439A" w:rsidRPr="001E27E2">
              <w:rPr>
                <w:rFonts w:cs="Arial"/>
              </w:rPr>
              <w:t>, major donors and aid agencies have committed to strengthening</w:t>
            </w:r>
            <w:r w:rsidR="005D1671">
              <w:rPr>
                <w:rFonts w:cs="Arial"/>
              </w:rPr>
              <w:t xml:space="preserve"> localization through shifting resources</w:t>
            </w:r>
            <w:r w:rsidR="00331846">
              <w:rPr>
                <w:rFonts w:cs="Arial"/>
              </w:rPr>
              <w:t xml:space="preserve"> to local and National responders, to strengthening their capabilities, to harmonizing accountability requirements and to ensuring local voices and perspectives are central to</w:t>
            </w:r>
            <w:r w:rsidR="005D1671">
              <w:rPr>
                <w:rFonts w:cs="Arial"/>
              </w:rPr>
              <w:t xml:space="preserve"> </w:t>
            </w:r>
            <w:r w:rsidR="00331846">
              <w:rPr>
                <w:rFonts w:cs="Arial"/>
              </w:rPr>
              <w:t>both partnerships and humanitarian action</w:t>
            </w:r>
            <w:r w:rsidR="00E70DBA" w:rsidRPr="00590C31">
              <w:rPr>
                <w:rFonts w:cs="Arial"/>
              </w:rPr>
              <w:t xml:space="preserve">. </w:t>
            </w:r>
            <w:r w:rsidR="00331846">
              <w:rPr>
                <w:rFonts w:cs="Arial"/>
              </w:rPr>
              <w:t xml:space="preserve">This pledge seeks to confirm these commitments and what is more – being led by National Societies of Large Ocean/Small Island States- </w:t>
            </w:r>
            <w:r w:rsidR="0057428A">
              <w:rPr>
                <w:rFonts w:cs="Arial"/>
              </w:rPr>
              <w:t xml:space="preserve">seeks </w:t>
            </w:r>
            <w:r w:rsidR="00331846">
              <w:rPr>
                <w:rFonts w:cs="Arial"/>
              </w:rPr>
              <w:t xml:space="preserve">to provide ways in which </w:t>
            </w:r>
            <w:r w:rsidR="0057428A">
              <w:rPr>
                <w:rFonts w:cs="Arial"/>
              </w:rPr>
              <w:t>key actions</w:t>
            </w:r>
            <w:r w:rsidR="00331846">
              <w:rPr>
                <w:rFonts w:cs="Arial"/>
              </w:rPr>
              <w:t xml:space="preserve"> translate into authentic </w:t>
            </w:r>
            <w:r w:rsidR="0057428A">
              <w:rPr>
                <w:rFonts w:cs="Arial"/>
              </w:rPr>
              <w:t>and measurable demonstrations of these commitments to local actors themselves.</w:t>
            </w:r>
            <w:r w:rsidR="008C54C1">
              <w:rPr>
                <w:rFonts w:cs="Arial"/>
              </w:rPr>
              <w:t xml:space="preserve"> </w:t>
            </w:r>
            <w:r w:rsidR="0057428A">
              <w:rPr>
                <w:rFonts w:cs="Arial"/>
              </w:rPr>
              <w:t>Since the development of the Grand Bargain,</w:t>
            </w:r>
            <w:r w:rsidR="008C54C1">
              <w:rPr>
                <w:rFonts w:cs="Arial"/>
              </w:rPr>
              <w:t xml:space="preserve"> </w:t>
            </w:r>
            <w:r w:rsidR="0057428A">
              <w:rPr>
                <w:rFonts w:cs="Arial"/>
              </w:rPr>
              <w:t>while t</w:t>
            </w:r>
            <w:r w:rsidR="00E70DBA" w:rsidRPr="00590C31">
              <w:rPr>
                <w:rFonts w:cs="Arial"/>
              </w:rPr>
              <w:t xml:space="preserve">he policy discourse has </w:t>
            </w:r>
            <w:r w:rsidR="00D40FDD">
              <w:rPr>
                <w:rFonts w:cs="Arial"/>
              </w:rPr>
              <w:t>evolved into</w:t>
            </w:r>
            <w:r w:rsidR="00E70DBA" w:rsidRPr="00590C31">
              <w:rPr>
                <w:rFonts w:cs="Arial"/>
              </w:rPr>
              <w:t xml:space="preserve"> a </w:t>
            </w:r>
            <w:proofErr w:type="gramStart"/>
            <w:r w:rsidR="00E70DBA" w:rsidRPr="00590C31">
              <w:rPr>
                <w:rFonts w:cs="Arial"/>
              </w:rPr>
              <w:t>locally-led</w:t>
            </w:r>
            <w:proofErr w:type="gramEnd"/>
            <w:r w:rsidR="00E70DBA" w:rsidRPr="00590C31">
              <w:rPr>
                <w:rFonts w:cs="Arial"/>
              </w:rPr>
              <w:t xml:space="preserve"> action agenda, which </w:t>
            </w:r>
            <w:r w:rsidR="00D40FDD">
              <w:rPr>
                <w:rFonts w:cs="Arial"/>
              </w:rPr>
              <w:t xml:space="preserve">aims to </w:t>
            </w:r>
            <w:r w:rsidR="00E70DBA">
              <w:rPr>
                <w:rFonts w:cs="Arial"/>
              </w:rPr>
              <w:t>enhance the</w:t>
            </w:r>
            <w:r w:rsidR="00E70DBA" w:rsidRPr="00590C31">
              <w:rPr>
                <w:rFonts w:cs="Arial"/>
              </w:rPr>
              <w:t xml:space="preserve"> power and agency of affected people and local actors</w:t>
            </w:r>
            <w:r w:rsidR="0057428A">
              <w:rPr>
                <w:rFonts w:cs="Arial"/>
              </w:rPr>
              <w:t>,</w:t>
            </w:r>
            <w:r w:rsidR="00E70DBA" w:rsidRPr="00590C31">
              <w:rPr>
                <w:rFonts w:cs="Arial"/>
              </w:rPr>
              <w:t xml:space="preserve"> in </w:t>
            </w:r>
            <w:r w:rsidR="00A73116">
              <w:rPr>
                <w:rFonts w:cs="Arial"/>
              </w:rPr>
              <w:t>practice, g</w:t>
            </w:r>
            <w:r w:rsidR="00A73116" w:rsidRPr="00590C31">
              <w:rPr>
                <w:rFonts w:cs="Arial"/>
              </w:rPr>
              <w:t xml:space="preserve">lobal progress - </w:t>
            </w:r>
            <w:r w:rsidR="0057428A">
              <w:rPr>
                <w:rFonts w:cs="Arial"/>
              </w:rPr>
              <w:t>on</w:t>
            </w:r>
            <w:r w:rsidR="00A73116" w:rsidRPr="00590C31">
              <w:rPr>
                <w:rFonts w:cs="Arial"/>
              </w:rPr>
              <w:t xml:space="preserve"> </w:t>
            </w:r>
            <w:r w:rsidR="0057428A">
              <w:rPr>
                <w:rFonts w:cs="Arial"/>
              </w:rPr>
              <w:t xml:space="preserve">commitments such as flexible, multi-year </w:t>
            </w:r>
            <w:r w:rsidR="00A73116" w:rsidRPr="00590C31">
              <w:rPr>
                <w:rFonts w:cs="Arial"/>
              </w:rPr>
              <w:t>funding</w:t>
            </w:r>
            <w:r w:rsidR="0057428A">
              <w:rPr>
                <w:rFonts w:cs="Arial"/>
              </w:rPr>
              <w:t>,</w:t>
            </w:r>
            <w:r w:rsidR="008C54C1">
              <w:rPr>
                <w:rFonts w:cs="Arial"/>
              </w:rPr>
              <w:t xml:space="preserve"> </w:t>
            </w:r>
            <w:r w:rsidR="0057428A">
              <w:rPr>
                <w:rFonts w:cs="Arial"/>
              </w:rPr>
              <w:t>authentic</w:t>
            </w:r>
            <w:r w:rsidR="00D116FE">
              <w:rPr>
                <w:rFonts w:cs="Arial"/>
              </w:rPr>
              <w:t xml:space="preserve"> local </w:t>
            </w:r>
            <w:r w:rsidR="00A73116" w:rsidRPr="00590C31">
              <w:rPr>
                <w:rFonts w:cs="Arial"/>
              </w:rPr>
              <w:t>leadership and decision</w:t>
            </w:r>
            <w:r w:rsidR="00D116FE">
              <w:rPr>
                <w:rFonts w:cs="Arial"/>
              </w:rPr>
              <w:t>-</w:t>
            </w:r>
            <w:r w:rsidR="00A73116" w:rsidRPr="00590C31">
              <w:rPr>
                <w:rFonts w:cs="Arial"/>
              </w:rPr>
              <w:t>making</w:t>
            </w:r>
            <w:r w:rsidR="0057428A">
              <w:rPr>
                <w:rFonts w:cs="Arial"/>
              </w:rPr>
              <w:t xml:space="preserve"> and reduced burdens of</w:t>
            </w:r>
            <w:r w:rsidR="00A73116" w:rsidRPr="00590C31">
              <w:rPr>
                <w:rFonts w:cs="Arial"/>
              </w:rPr>
              <w:t xml:space="preserve"> </w:t>
            </w:r>
            <w:r w:rsidR="0057428A">
              <w:rPr>
                <w:rFonts w:cs="Arial"/>
              </w:rPr>
              <w:t>reporting</w:t>
            </w:r>
            <w:r w:rsidR="00A73116">
              <w:rPr>
                <w:rFonts w:cs="Arial"/>
              </w:rPr>
              <w:t xml:space="preserve">- </w:t>
            </w:r>
            <w:r w:rsidR="00A73116" w:rsidRPr="00590C31">
              <w:rPr>
                <w:rFonts w:cs="Arial"/>
              </w:rPr>
              <w:t>remain slow.</w:t>
            </w:r>
          </w:p>
          <w:p w14:paraId="79112864" w14:textId="1E7EA0EA" w:rsidR="00A16BB9" w:rsidRPr="009A3290" w:rsidRDefault="004A3153" w:rsidP="007A07D8">
            <w:pPr>
              <w:spacing w:after="120"/>
              <w:rPr>
                <w:rFonts w:cs="Arial"/>
              </w:rPr>
            </w:pPr>
            <w:r w:rsidRPr="001E27E2">
              <w:rPr>
                <w:rFonts w:cs="Arial"/>
              </w:rPr>
              <w:t xml:space="preserve">As key humanitarian actors within </w:t>
            </w:r>
            <w:r w:rsidR="00064AA3">
              <w:rPr>
                <w:rFonts w:cs="Arial"/>
              </w:rPr>
              <w:t>their</w:t>
            </w:r>
            <w:r w:rsidRPr="001E27E2">
              <w:rPr>
                <w:rFonts w:cs="Arial"/>
              </w:rPr>
              <w:t xml:space="preserve"> countries, Pacific National Societies </w:t>
            </w:r>
            <w:r w:rsidR="0057428A">
              <w:rPr>
                <w:rFonts w:cs="Arial"/>
              </w:rPr>
              <w:t>have been</w:t>
            </w:r>
            <w:r w:rsidRPr="001E27E2">
              <w:rPr>
                <w:rFonts w:cs="Arial"/>
              </w:rPr>
              <w:t xml:space="preserve"> dedicated to working collaboratively </w:t>
            </w:r>
            <w:r w:rsidR="005D3867">
              <w:rPr>
                <w:rFonts w:cs="Arial"/>
              </w:rPr>
              <w:t xml:space="preserve">with partners </w:t>
            </w:r>
            <w:r w:rsidRPr="001E27E2">
              <w:rPr>
                <w:rFonts w:cs="Arial"/>
              </w:rPr>
              <w:t>to tackle the complex challenges facing the Blue Pacific Continent</w:t>
            </w:r>
            <w:r w:rsidR="0057428A">
              <w:rPr>
                <w:rFonts w:cs="Arial"/>
              </w:rPr>
              <w:t xml:space="preserve"> and have been testing ways in which Grand Bargain commitments can be implemented – strengthening the ability of National Societies to play their critical mandated roles</w:t>
            </w:r>
            <w:r w:rsidRPr="001E27E2">
              <w:rPr>
                <w:rFonts w:cs="Arial"/>
              </w:rPr>
              <w:t xml:space="preserve">. </w:t>
            </w:r>
            <w:r w:rsidR="0057428A">
              <w:rPr>
                <w:rFonts w:cs="Arial"/>
              </w:rPr>
              <w:t xml:space="preserve">One such </w:t>
            </w:r>
            <w:r w:rsidR="00C74726">
              <w:rPr>
                <w:rFonts w:cs="Arial"/>
              </w:rPr>
              <w:t>example of this collective approach</w:t>
            </w:r>
            <w:r w:rsidR="0057428A">
              <w:rPr>
                <w:rFonts w:cs="Arial"/>
              </w:rPr>
              <w:t xml:space="preserve"> has been the Core Costs and Financial Sustainability Initiative</w:t>
            </w:r>
            <w:r w:rsidR="00C74726">
              <w:rPr>
                <w:rFonts w:cs="Arial"/>
              </w:rPr>
              <w:t xml:space="preserve"> (CCFS</w:t>
            </w:r>
            <w:r w:rsidR="008C54C1">
              <w:rPr>
                <w:rFonts w:cs="Arial"/>
              </w:rPr>
              <w:t xml:space="preserve">) </w:t>
            </w:r>
            <w:r w:rsidR="00C74726">
              <w:rPr>
                <w:rFonts w:cs="Arial"/>
              </w:rPr>
              <w:t>- an impactful partnership approach providing multi-year, flexible funding for the coverage of core costs. The Initiative also exemplifies Grand Bargain commitments through the utilisation of locally</w:t>
            </w:r>
            <w:r w:rsidR="008C54C1">
              <w:rPr>
                <w:rFonts w:cs="Arial"/>
              </w:rPr>
              <w:t xml:space="preserve"> </w:t>
            </w:r>
            <w:r w:rsidR="00C74726">
              <w:rPr>
                <w:rFonts w:cs="Arial"/>
              </w:rPr>
              <w:t>relevant reporting mechanisms and capability strengthening, through peer networks focused on strategic financial management and resource mobilization. Case Studies of the initiative demonstrate some of the ways in which CCFS has directly supported National Societies in their efforts as local humanitarian actors</w:t>
            </w:r>
            <w:r w:rsidR="00B66E0F">
              <w:rPr>
                <w:rFonts w:cs="Arial"/>
              </w:rPr>
              <w:t>, including</w:t>
            </w:r>
            <w:r w:rsidR="00C74726">
              <w:rPr>
                <w:rFonts w:cs="Arial"/>
              </w:rPr>
              <w:t xml:space="preserve"> strengthened collective impact models of coordination and collaboration between </w:t>
            </w:r>
            <w:r w:rsidR="00B66E0F">
              <w:rPr>
                <w:rFonts w:cs="Arial"/>
              </w:rPr>
              <w:t>N</w:t>
            </w:r>
            <w:r w:rsidR="00C74726">
              <w:rPr>
                <w:rFonts w:cs="Arial"/>
              </w:rPr>
              <w:t xml:space="preserve">ational Societies and their partners in the sub-region. </w:t>
            </w:r>
            <w:r w:rsidR="003E643A">
              <w:rPr>
                <w:rFonts w:cs="Arial"/>
              </w:rPr>
              <w:t xml:space="preserve">Drawing on this experience, </w:t>
            </w:r>
            <w:r w:rsidR="003E643A" w:rsidRPr="001E27E2">
              <w:rPr>
                <w:rFonts w:cs="Arial"/>
              </w:rPr>
              <w:t xml:space="preserve">Pacific leaders </w:t>
            </w:r>
            <w:r w:rsidR="003E643A">
              <w:rPr>
                <w:rFonts w:cs="Arial"/>
              </w:rPr>
              <w:t>call</w:t>
            </w:r>
            <w:r w:rsidR="003E643A" w:rsidRPr="001E27E2">
              <w:rPr>
                <w:rFonts w:cs="Arial"/>
              </w:rPr>
              <w:t xml:space="preserve"> on </w:t>
            </w:r>
            <w:r w:rsidR="00C74726">
              <w:rPr>
                <w:rFonts w:cs="Arial"/>
              </w:rPr>
              <w:t>members of the International Conference</w:t>
            </w:r>
            <w:r w:rsidR="003E643A" w:rsidRPr="001E27E2">
              <w:rPr>
                <w:rFonts w:cs="Arial"/>
              </w:rPr>
              <w:t xml:space="preserve"> to commit to </w:t>
            </w:r>
            <w:r w:rsidR="00122C0D">
              <w:rPr>
                <w:rFonts w:cs="Arial"/>
              </w:rPr>
              <w:t xml:space="preserve">investing in </w:t>
            </w:r>
            <w:r w:rsidR="003E643A" w:rsidRPr="001E27E2">
              <w:rPr>
                <w:rFonts w:cs="Arial"/>
              </w:rPr>
              <w:t>long-term, equitable partnerships</w:t>
            </w:r>
            <w:r w:rsidR="005F3B1B">
              <w:rPr>
                <w:rFonts w:cs="Arial"/>
              </w:rPr>
              <w:t xml:space="preserve"> that include </w:t>
            </w:r>
            <w:r w:rsidR="003E643A" w:rsidRPr="001E27E2">
              <w:rPr>
                <w:rFonts w:cs="Arial"/>
              </w:rPr>
              <w:t>quality funding</w:t>
            </w:r>
            <w:r w:rsidR="003E643A">
              <w:rPr>
                <w:rFonts w:cs="Arial"/>
              </w:rPr>
              <w:t xml:space="preserve"> </w:t>
            </w:r>
            <w:r w:rsidR="003E643A" w:rsidRPr="001E27E2">
              <w:rPr>
                <w:rFonts w:cs="Arial"/>
              </w:rPr>
              <w:t>and collaborative risk-sharing</w:t>
            </w:r>
            <w:r w:rsidR="003E643A">
              <w:rPr>
                <w:rFonts w:cs="Arial"/>
              </w:rPr>
              <w:t xml:space="preserve"> approaches</w:t>
            </w:r>
            <w:r w:rsidR="00B75B50">
              <w:rPr>
                <w:rFonts w:cs="Arial"/>
              </w:rPr>
              <w:t xml:space="preserve">. </w:t>
            </w:r>
            <w:r w:rsidR="00B75B50" w:rsidRPr="00B75B50">
              <w:rPr>
                <w:rFonts w:cs="Arial"/>
              </w:rPr>
              <w:t xml:space="preserve">Such commitments will help strengthen local leadership, systems, and infrastructure, ultimately enhancing support for communities. </w:t>
            </w:r>
          </w:p>
        </w:tc>
      </w:tr>
      <w:tr w:rsidR="00E70DBA" w:rsidRPr="00442794" w14:paraId="13E72C53" w14:textId="779EF8B0" w:rsidTr="00E70DBA">
        <w:trPr>
          <w:trHeight w:val="300"/>
        </w:trPr>
        <w:tc>
          <w:tcPr>
            <w:tcW w:w="10201" w:type="dxa"/>
            <w:tcBorders>
              <w:top w:val="single" w:sz="4" w:space="0" w:color="auto"/>
              <w:left w:val="single" w:sz="4" w:space="0" w:color="auto"/>
              <w:bottom w:val="single" w:sz="4" w:space="0" w:color="auto"/>
              <w:right w:val="single" w:sz="4" w:space="0" w:color="auto"/>
            </w:tcBorders>
          </w:tcPr>
          <w:p w14:paraId="5C896140" w14:textId="58BED699" w:rsidR="00E70DBA" w:rsidRPr="00B66E0F" w:rsidRDefault="00E70DBA" w:rsidP="00AF5D78">
            <w:pPr>
              <w:spacing w:after="60"/>
              <w:rPr>
                <w:b/>
                <w:bCs/>
                <w:sz w:val="28"/>
                <w:szCs w:val="28"/>
              </w:rPr>
            </w:pPr>
            <w:r w:rsidRPr="00B66E0F">
              <w:rPr>
                <w:b/>
                <w:bCs/>
                <w:sz w:val="28"/>
                <w:szCs w:val="28"/>
              </w:rPr>
              <w:lastRenderedPageBreak/>
              <w:t>Action plan</w:t>
            </w:r>
          </w:p>
          <w:p w14:paraId="26AD5297" w14:textId="5C9A6840" w:rsidR="00E70DBA" w:rsidRPr="00E5294C" w:rsidRDefault="000D037A" w:rsidP="00AF5D78">
            <w:pPr>
              <w:spacing w:after="60"/>
            </w:pPr>
            <w:r>
              <w:t xml:space="preserve">To achieve </w:t>
            </w:r>
            <w:r w:rsidR="006F076A">
              <w:t>t</w:t>
            </w:r>
            <w:r>
              <w:t xml:space="preserve">he </w:t>
            </w:r>
            <w:r w:rsidR="006F076A">
              <w:t xml:space="preserve">objective of </w:t>
            </w:r>
            <w:r w:rsidR="00C74726" w:rsidRPr="001E27E2">
              <w:rPr>
                <w:rFonts w:cs="Arial"/>
              </w:rPr>
              <w:t>strengthen</w:t>
            </w:r>
            <w:r w:rsidR="00C74726">
              <w:rPr>
                <w:rFonts w:cs="Arial"/>
              </w:rPr>
              <w:t>ing</w:t>
            </w:r>
            <w:r w:rsidR="00C74726" w:rsidRPr="001E27E2">
              <w:rPr>
                <w:rFonts w:cs="Arial"/>
              </w:rPr>
              <w:t xml:space="preserve"> the </w:t>
            </w:r>
            <w:r w:rsidR="00C74726">
              <w:rPr>
                <w:rFonts w:cs="Arial"/>
              </w:rPr>
              <w:t>commitment of members of the Red Cross Red Crescent Movement and their Auxiliary partners, to actions which demonstrably lead to better localisation</w:t>
            </w:r>
            <w:r w:rsidR="002D0005">
              <w:rPr>
                <w:rFonts w:cs="Arial"/>
              </w:rPr>
              <w:t xml:space="preserve">, </w:t>
            </w:r>
            <w:r w:rsidR="006F076A">
              <w:t>signatory governments and National Societies pledge to do</w:t>
            </w:r>
            <w:r w:rsidR="005B1309">
              <w:t xml:space="preserve"> </w:t>
            </w:r>
            <w:r w:rsidR="00F26700">
              <w:t xml:space="preserve">one </w:t>
            </w:r>
            <w:r w:rsidR="00F26700" w:rsidRPr="00B66E0F">
              <w:rPr>
                <w:b/>
                <w:bCs/>
              </w:rPr>
              <w:t>or</w:t>
            </w:r>
            <w:r w:rsidR="00F26700">
              <w:t xml:space="preserve"> more of </w:t>
            </w:r>
            <w:r w:rsidR="00F749C8">
              <w:t>the following:</w:t>
            </w:r>
          </w:p>
          <w:p w14:paraId="424F2F45" w14:textId="48A2E7AE" w:rsidR="00E262B3" w:rsidRDefault="00E262B3" w:rsidP="00AF5D78">
            <w:pPr>
              <w:spacing w:after="60"/>
              <w:rPr>
                <w:b/>
                <w:bCs/>
              </w:rPr>
            </w:pPr>
            <w:r w:rsidRPr="003E5182">
              <w:rPr>
                <w:b/>
                <w:bCs/>
              </w:rPr>
              <w:t xml:space="preserve">Empowering local leadership through </w:t>
            </w:r>
            <w:r w:rsidR="00854F9B">
              <w:rPr>
                <w:b/>
                <w:bCs/>
              </w:rPr>
              <w:t>equitable</w:t>
            </w:r>
            <w:r w:rsidRPr="003E5182">
              <w:rPr>
                <w:b/>
                <w:bCs/>
              </w:rPr>
              <w:t xml:space="preserve"> partnerships</w:t>
            </w:r>
          </w:p>
          <w:p w14:paraId="0A53AE46" w14:textId="7AEFE6BA" w:rsidR="00854F9B" w:rsidRPr="00C94CED" w:rsidRDefault="00854F9B" w:rsidP="00AF5D78">
            <w:pPr>
              <w:pStyle w:val="ListParagraph"/>
              <w:numPr>
                <w:ilvl w:val="0"/>
                <w:numId w:val="3"/>
              </w:numPr>
              <w:spacing w:after="60"/>
              <w:contextualSpacing w:val="0"/>
              <w:jc w:val="both"/>
              <w:rPr>
                <w:rFonts w:cs="Arial"/>
                <w:i/>
                <w:iCs/>
              </w:rPr>
            </w:pPr>
            <w:r w:rsidRPr="00C94CED">
              <w:rPr>
                <w:rFonts w:cs="Arial"/>
              </w:rPr>
              <w:t xml:space="preserve">Invest in </w:t>
            </w:r>
            <w:r w:rsidRPr="00C94CED">
              <w:rPr>
                <w:rFonts w:cs="Arial"/>
                <w:b/>
                <w:bCs/>
              </w:rPr>
              <w:t>longer-term strategic partnerships</w:t>
            </w:r>
            <w:r w:rsidRPr="00C94CED">
              <w:rPr>
                <w:rFonts w:cs="Arial"/>
              </w:rPr>
              <w:t xml:space="preserve"> and relationships that are grounded in genuine equi</w:t>
            </w:r>
            <w:r w:rsidR="002D0005">
              <w:rPr>
                <w:rFonts w:cs="Arial"/>
              </w:rPr>
              <w:t>ty,</w:t>
            </w:r>
            <w:r w:rsidRPr="00C94CED">
              <w:rPr>
                <w:rFonts w:cs="Arial"/>
              </w:rPr>
              <w:t xml:space="preserve"> mutual respect, transparency, trust, shared responsibility and accountability with Red </w:t>
            </w:r>
            <w:proofErr w:type="gramStart"/>
            <w:r w:rsidRPr="00C94CED">
              <w:rPr>
                <w:rFonts w:cs="Arial"/>
              </w:rPr>
              <w:t>Cross Red Crescent National</w:t>
            </w:r>
            <w:proofErr w:type="gramEnd"/>
            <w:r w:rsidRPr="00C94CED">
              <w:rPr>
                <w:rFonts w:cs="Arial"/>
              </w:rPr>
              <w:t xml:space="preserve"> Societies and other local actors to ensure they benefit from our presence and support.</w:t>
            </w:r>
          </w:p>
          <w:p w14:paraId="27FC2598" w14:textId="77777777" w:rsidR="00854F9B" w:rsidRPr="00C94CED" w:rsidRDefault="00854F9B" w:rsidP="00AF5D78">
            <w:pPr>
              <w:pStyle w:val="ListParagraph"/>
              <w:numPr>
                <w:ilvl w:val="0"/>
                <w:numId w:val="3"/>
              </w:numPr>
              <w:spacing w:after="60"/>
              <w:contextualSpacing w:val="0"/>
              <w:jc w:val="both"/>
              <w:rPr>
                <w:rFonts w:cs="Arial"/>
                <w:i/>
                <w:iCs/>
              </w:rPr>
            </w:pPr>
            <w:r w:rsidRPr="00C94CED">
              <w:rPr>
                <w:rFonts w:cs="Arial"/>
              </w:rPr>
              <w:t xml:space="preserve">Support, promote and </w:t>
            </w:r>
            <w:r w:rsidRPr="00C94CED">
              <w:rPr>
                <w:rFonts w:cs="Arial"/>
                <w:b/>
                <w:bCs/>
              </w:rPr>
              <w:t>create space for local actors’</w:t>
            </w:r>
            <w:r w:rsidRPr="00C94CED">
              <w:rPr>
                <w:rFonts w:cs="Arial"/>
              </w:rPr>
              <w:t xml:space="preserve"> meaningful representation and leadership in key humanitarian decision making and coordination mechanisms</w:t>
            </w:r>
          </w:p>
          <w:p w14:paraId="030A5C4A" w14:textId="57676FC5" w:rsidR="00E262B3" w:rsidRPr="00B66E0F" w:rsidRDefault="00854F9B" w:rsidP="00AF5D78">
            <w:pPr>
              <w:pStyle w:val="ListParagraph"/>
              <w:numPr>
                <w:ilvl w:val="0"/>
                <w:numId w:val="3"/>
              </w:numPr>
              <w:spacing w:after="60"/>
              <w:contextualSpacing w:val="0"/>
              <w:jc w:val="both"/>
              <w:rPr>
                <w:rFonts w:cs="Arial"/>
                <w:i/>
                <w:iCs/>
              </w:rPr>
            </w:pPr>
            <w:r w:rsidRPr="00C94CED">
              <w:rPr>
                <w:rFonts w:cs="Arial"/>
                <w:b/>
                <w:bCs/>
                <w:iCs/>
              </w:rPr>
              <w:t>Reorient</w:t>
            </w:r>
            <w:r w:rsidRPr="00C94CED">
              <w:rPr>
                <w:rFonts w:cs="Arial"/>
                <w:iCs/>
              </w:rPr>
              <w:t xml:space="preserve"> the way we partner to ensure that the voice of people in vulnerable situations are heard </w:t>
            </w:r>
            <w:r w:rsidR="002D0005">
              <w:rPr>
                <w:rFonts w:cs="Arial"/>
                <w:iCs/>
              </w:rPr>
              <w:t>at</w:t>
            </w:r>
            <w:r w:rsidRPr="00C94CED">
              <w:rPr>
                <w:rFonts w:cs="Arial"/>
                <w:iCs/>
              </w:rPr>
              <w:t xml:space="preserve"> local, national, regional and global levels through humanitarian diplomacy, particularly by increasingly using local languages, organizing meetings at </w:t>
            </w:r>
            <w:r w:rsidR="002D0005">
              <w:rPr>
                <w:rFonts w:cs="Arial"/>
                <w:iCs/>
              </w:rPr>
              <w:t>community levels</w:t>
            </w:r>
            <w:r w:rsidRPr="00C94CED">
              <w:rPr>
                <w:rFonts w:cs="Arial"/>
                <w:iCs/>
              </w:rPr>
              <w:t xml:space="preserve">, and if needed, </w:t>
            </w:r>
            <w:r w:rsidR="002D0005">
              <w:rPr>
                <w:rFonts w:cs="Arial"/>
                <w:iCs/>
              </w:rPr>
              <w:t>working alongside</w:t>
            </w:r>
            <w:r w:rsidRPr="00C94CED">
              <w:rPr>
                <w:rFonts w:cs="Arial"/>
                <w:iCs/>
              </w:rPr>
              <w:t xml:space="preserve"> local actors to fulfil leadership roles </w:t>
            </w:r>
          </w:p>
          <w:p w14:paraId="0A885BCD" w14:textId="5CF67345" w:rsidR="00E70DBA" w:rsidRPr="00B66E0F" w:rsidRDefault="00E70DBA" w:rsidP="00AF5D78">
            <w:pPr>
              <w:spacing w:after="60"/>
              <w:rPr>
                <w:b/>
                <w:bCs/>
              </w:rPr>
            </w:pPr>
            <w:r w:rsidRPr="003E5182">
              <w:rPr>
                <w:b/>
                <w:bCs/>
              </w:rPr>
              <w:t>Long-term</w:t>
            </w:r>
            <w:r w:rsidR="003915C1">
              <w:rPr>
                <w:b/>
                <w:bCs/>
              </w:rPr>
              <w:t xml:space="preserve">, </w:t>
            </w:r>
            <w:r w:rsidRPr="003E5182">
              <w:rPr>
                <w:b/>
                <w:bCs/>
              </w:rPr>
              <w:t xml:space="preserve">flexible funding aligned with </w:t>
            </w:r>
            <w:r>
              <w:rPr>
                <w:b/>
                <w:bCs/>
              </w:rPr>
              <w:t>local actor</w:t>
            </w:r>
            <w:r w:rsidRPr="003E5182">
              <w:rPr>
                <w:b/>
                <w:bCs/>
              </w:rPr>
              <w:t xml:space="preserve"> priorities</w:t>
            </w:r>
          </w:p>
          <w:p w14:paraId="3D7EDE04" w14:textId="607376D6" w:rsidR="00E70DBA" w:rsidRPr="00885AA5" w:rsidRDefault="00E70DBA" w:rsidP="00AF5D78">
            <w:pPr>
              <w:pStyle w:val="ListParagraph"/>
              <w:numPr>
                <w:ilvl w:val="0"/>
                <w:numId w:val="3"/>
              </w:numPr>
              <w:shd w:val="clear" w:color="auto" w:fill="FFFFFF" w:themeFill="background1"/>
              <w:spacing w:after="60"/>
              <w:contextualSpacing w:val="0"/>
              <w:jc w:val="both"/>
              <w:rPr>
                <w:rFonts w:cs="Arial"/>
                <w:i/>
                <w:iCs/>
              </w:rPr>
            </w:pPr>
            <w:r w:rsidRPr="00885AA5">
              <w:rPr>
                <w:rFonts w:cs="Arial"/>
              </w:rPr>
              <w:t>Increase</w:t>
            </w:r>
            <w:r>
              <w:rPr>
                <w:rFonts w:cs="Arial"/>
              </w:rPr>
              <w:t>d</w:t>
            </w:r>
            <w:r w:rsidRPr="00885AA5">
              <w:rPr>
                <w:rFonts w:cs="Arial"/>
              </w:rPr>
              <w:t xml:space="preserve"> investment in </w:t>
            </w:r>
            <w:r w:rsidRPr="00885AA5">
              <w:rPr>
                <w:rFonts w:cs="Arial"/>
                <w:b/>
                <w:bCs/>
              </w:rPr>
              <w:t>dedicated, multi-year</w:t>
            </w:r>
            <w:r w:rsidR="002D0005">
              <w:rPr>
                <w:rFonts w:cs="Arial"/>
                <w:b/>
                <w:bCs/>
              </w:rPr>
              <w:t>,</w:t>
            </w:r>
            <w:r w:rsidR="00B66E0F">
              <w:rPr>
                <w:rFonts w:cs="Arial"/>
                <w:b/>
                <w:bCs/>
              </w:rPr>
              <w:t xml:space="preserve"> </w:t>
            </w:r>
            <w:r w:rsidRPr="00885AA5">
              <w:rPr>
                <w:rFonts w:cs="Arial"/>
                <w:b/>
                <w:bCs/>
              </w:rPr>
              <w:t>unearmarked funding</w:t>
            </w:r>
            <w:r w:rsidR="00E5557D">
              <w:rPr>
                <w:rFonts w:cs="Arial"/>
              </w:rPr>
              <w:t>, including</w:t>
            </w:r>
            <w:r w:rsidRPr="00885AA5">
              <w:rPr>
                <w:rFonts w:cs="Arial"/>
                <w:b/>
                <w:bCs/>
              </w:rPr>
              <w:t xml:space="preserve"> </w:t>
            </w:r>
            <w:r w:rsidR="00E5557D" w:rsidRPr="00885AA5">
              <w:rPr>
                <w:rFonts w:cs="Arial"/>
              </w:rPr>
              <w:t xml:space="preserve">a reasonable share of </w:t>
            </w:r>
            <w:r w:rsidR="00E5557D" w:rsidRPr="00885AA5">
              <w:rPr>
                <w:rFonts w:cs="Arial"/>
                <w:b/>
                <w:bCs/>
              </w:rPr>
              <w:t>overhead costs</w:t>
            </w:r>
            <w:r w:rsidR="00E5557D" w:rsidRPr="00885AA5">
              <w:rPr>
                <w:rFonts w:cs="Arial"/>
              </w:rPr>
              <w:t xml:space="preserve"> in all project/programme funding to local actors</w:t>
            </w:r>
            <w:r w:rsidR="00E5557D">
              <w:rPr>
                <w:rFonts w:cs="Arial"/>
              </w:rPr>
              <w:t>,</w:t>
            </w:r>
            <w:r w:rsidR="00E5557D" w:rsidRPr="00885AA5">
              <w:rPr>
                <w:rFonts w:cs="Arial"/>
              </w:rPr>
              <w:t xml:space="preserve"> </w:t>
            </w:r>
            <w:r w:rsidR="009D5090">
              <w:rPr>
                <w:rFonts w:cs="Arial"/>
              </w:rPr>
              <w:t xml:space="preserve">aligned with local priorities </w:t>
            </w:r>
            <w:r w:rsidRPr="00885AA5">
              <w:rPr>
                <w:rFonts w:cs="Arial"/>
              </w:rPr>
              <w:t>to ensure sustainability</w:t>
            </w:r>
            <w:r w:rsidR="00D31478">
              <w:rPr>
                <w:rFonts w:cs="Arial"/>
              </w:rPr>
              <w:t xml:space="preserve"> and</w:t>
            </w:r>
            <w:r w:rsidR="008D5BBF">
              <w:rPr>
                <w:rFonts w:cs="Arial"/>
              </w:rPr>
              <w:t xml:space="preserve"> capacity strengthening</w:t>
            </w:r>
            <w:r w:rsidR="00E418EA">
              <w:rPr>
                <w:rFonts w:cs="Arial"/>
              </w:rPr>
              <w:t>.</w:t>
            </w:r>
          </w:p>
          <w:p w14:paraId="36FCC9DF" w14:textId="0485A8F7" w:rsidR="00E70DBA" w:rsidRPr="00B66E0F" w:rsidRDefault="00E70DBA" w:rsidP="00AF5D78">
            <w:pPr>
              <w:pStyle w:val="ListParagraph"/>
              <w:numPr>
                <w:ilvl w:val="0"/>
                <w:numId w:val="3"/>
              </w:numPr>
              <w:shd w:val="clear" w:color="auto" w:fill="FFFFFF" w:themeFill="background1"/>
              <w:spacing w:after="60"/>
              <w:contextualSpacing w:val="0"/>
              <w:jc w:val="both"/>
              <w:rPr>
                <w:rFonts w:cs="Arial"/>
              </w:rPr>
            </w:pPr>
            <w:r>
              <w:rPr>
                <w:rFonts w:cs="Arial"/>
              </w:rPr>
              <w:t xml:space="preserve">Adopt </w:t>
            </w:r>
            <w:r w:rsidRPr="003C5628">
              <w:rPr>
                <w:rFonts w:cs="Arial"/>
                <w:b/>
                <w:bCs/>
              </w:rPr>
              <w:t>funding modalities</w:t>
            </w:r>
            <w:r>
              <w:rPr>
                <w:rFonts w:cs="Arial"/>
              </w:rPr>
              <w:t xml:space="preserve"> that support as direct as possible funding to local actors and work towards minimising the administrative burden to local actors around these.</w:t>
            </w:r>
          </w:p>
          <w:p w14:paraId="450DFFEC" w14:textId="3C838773" w:rsidR="00E70DBA" w:rsidRPr="00B66E0F" w:rsidRDefault="006C357D" w:rsidP="00AF5D78">
            <w:pPr>
              <w:spacing w:after="60"/>
              <w:rPr>
                <w:b/>
                <w:bCs/>
              </w:rPr>
            </w:pPr>
            <w:r>
              <w:rPr>
                <w:b/>
                <w:bCs/>
              </w:rPr>
              <w:t xml:space="preserve">Simplified reporting and </w:t>
            </w:r>
            <w:r w:rsidR="00B66E0F">
              <w:rPr>
                <w:b/>
                <w:bCs/>
              </w:rPr>
              <w:t>e</w:t>
            </w:r>
            <w:r w:rsidR="00D443B2">
              <w:rPr>
                <w:b/>
                <w:bCs/>
              </w:rPr>
              <w:t xml:space="preserve">ffective </w:t>
            </w:r>
            <w:r w:rsidR="00EE3DE6">
              <w:rPr>
                <w:b/>
                <w:bCs/>
              </w:rPr>
              <w:t xml:space="preserve">risk sharing </w:t>
            </w:r>
          </w:p>
          <w:p w14:paraId="639E2951" w14:textId="7C1745C0" w:rsidR="0043625D" w:rsidRPr="00B66E0F" w:rsidRDefault="009E2D7C" w:rsidP="00AF5D78">
            <w:pPr>
              <w:pStyle w:val="ListParagraph"/>
              <w:numPr>
                <w:ilvl w:val="0"/>
                <w:numId w:val="3"/>
              </w:numPr>
              <w:spacing w:after="60"/>
              <w:contextualSpacing w:val="0"/>
              <w:jc w:val="both"/>
              <w:rPr>
                <w:rFonts w:cs="Arial"/>
              </w:rPr>
            </w:pPr>
            <w:r w:rsidRPr="00B66E0F">
              <w:rPr>
                <w:rFonts w:cs="Arial"/>
              </w:rPr>
              <w:t xml:space="preserve">Review due diligence and compliance requirements while supporting integrity and accountability through </w:t>
            </w:r>
            <w:r w:rsidRPr="00B66E0F">
              <w:rPr>
                <w:rFonts w:cs="Arial"/>
                <w:b/>
                <w:bCs/>
              </w:rPr>
              <w:t>simplified</w:t>
            </w:r>
            <w:r w:rsidR="002D0005" w:rsidRPr="00B66E0F">
              <w:rPr>
                <w:rFonts w:cs="Arial"/>
                <w:b/>
                <w:bCs/>
              </w:rPr>
              <w:t xml:space="preserve"> and harmoni</w:t>
            </w:r>
            <w:r w:rsidR="00B66E0F" w:rsidRPr="00B66E0F">
              <w:rPr>
                <w:rFonts w:cs="Arial"/>
                <w:b/>
                <w:bCs/>
              </w:rPr>
              <w:t>s</w:t>
            </w:r>
            <w:r w:rsidR="002D0005" w:rsidRPr="00B66E0F">
              <w:rPr>
                <w:rFonts w:cs="Arial"/>
                <w:b/>
                <w:bCs/>
              </w:rPr>
              <w:t>ed</w:t>
            </w:r>
            <w:r w:rsidRPr="00B66E0F">
              <w:rPr>
                <w:rFonts w:cs="Arial"/>
                <w:b/>
                <w:bCs/>
              </w:rPr>
              <w:t>, common reporting requirements and capacity-building measures</w:t>
            </w:r>
            <w:r w:rsidRPr="00B66E0F">
              <w:rPr>
                <w:rFonts w:cs="Arial"/>
              </w:rPr>
              <w:t xml:space="preserve"> that enable local actors to report their impact in locally relevant ways.</w:t>
            </w:r>
          </w:p>
          <w:p w14:paraId="28E2D320" w14:textId="14A6A16D" w:rsidR="00E70DBA" w:rsidRPr="00B66E0F" w:rsidRDefault="0043625D" w:rsidP="00AF5D78">
            <w:pPr>
              <w:pStyle w:val="ListParagraph"/>
              <w:numPr>
                <w:ilvl w:val="0"/>
                <w:numId w:val="3"/>
              </w:numPr>
              <w:spacing w:after="60"/>
              <w:contextualSpacing w:val="0"/>
              <w:jc w:val="both"/>
              <w:rPr>
                <w:rFonts w:cs="Arial"/>
              </w:rPr>
            </w:pPr>
            <w:r w:rsidRPr="00B66E0F">
              <w:rPr>
                <w:rFonts w:cs="Arial"/>
              </w:rPr>
              <w:t xml:space="preserve">Collaborate on integrating a risk-sharing approach </w:t>
            </w:r>
            <w:r w:rsidR="00420193" w:rsidRPr="00B66E0F">
              <w:rPr>
                <w:rFonts w:cs="Arial"/>
              </w:rPr>
              <w:t>through</w:t>
            </w:r>
            <w:r w:rsidRPr="00B66E0F">
              <w:rPr>
                <w:rFonts w:cs="Arial"/>
              </w:rPr>
              <w:t xml:space="preserve"> fostering </w:t>
            </w:r>
            <w:r w:rsidRPr="00B66E0F">
              <w:rPr>
                <w:rFonts w:cs="Arial"/>
                <w:b/>
                <w:bCs/>
              </w:rPr>
              <w:t>equitable dialogue and jointly agreed measures</w:t>
            </w:r>
            <w:r w:rsidRPr="00B66E0F">
              <w:rPr>
                <w:rFonts w:cs="Arial"/>
              </w:rPr>
              <w:t xml:space="preserve"> that ensure the balanced distribution </w:t>
            </w:r>
            <w:r w:rsidR="0041226F" w:rsidRPr="00B66E0F">
              <w:rPr>
                <w:rFonts w:cs="Arial"/>
              </w:rPr>
              <w:t xml:space="preserve">of </w:t>
            </w:r>
            <w:r w:rsidRPr="00B66E0F">
              <w:rPr>
                <w:rFonts w:cs="Arial"/>
              </w:rPr>
              <w:t xml:space="preserve">risks, ultimately enhancing support to </w:t>
            </w:r>
            <w:r w:rsidR="0041226F" w:rsidRPr="00B66E0F">
              <w:rPr>
                <w:rFonts w:cs="Arial"/>
              </w:rPr>
              <w:t xml:space="preserve">communities. </w:t>
            </w:r>
          </w:p>
        </w:tc>
      </w:tr>
      <w:tr w:rsidR="00E70DBA" w:rsidRPr="00442794" w14:paraId="2C33C3E0" w14:textId="78405532" w:rsidTr="00E70DBA">
        <w:trPr>
          <w:trHeight w:val="300"/>
        </w:trPr>
        <w:tc>
          <w:tcPr>
            <w:tcW w:w="10201" w:type="dxa"/>
            <w:tcBorders>
              <w:top w:val="single" w:sz="4" w:space="0" w:color="auto"/>
              <w:left w:val="single" w:sz="4" w:space="0" w:color="auto"/>
              <w:bottom w:val="single" w:sz="4" w:space="0" w:color="auto"/>
              <w:right w:val="single" w:sz="4" w:space="0" w:color="auto"/>
            </w:tcBorders>
          </w:tcPr>
          <w:p w14:paraId="72E2612B" w14:textId="280D16CB" w:rsidR="00E70DBA" w:rsidRPr="00B66E0F" w:rsidRDefault="00E70DBA" w:rsidP="00AF5D78">
            <w:pPr>
              <w:spacing w:after="60"/>
              <w:rPr>
                <w:b/>
                <w:bCs/>
                <w:sz w:val="28"/>
                <w:szCs w:val="28"/>
              </w:rPr>
            </w:pPr>
            <w:r w:rsidRPr="00B66E0F">
              <w:rPr>
                <w:b/>
                <w:bCs/>
                <w:sz w:val="28"/>
                <w:szCs w:val="28"/>
              </w:rPr>
              <w:t>Indications for measuring progress</w:t>
            </w:r>
          </w:p>
          <w:p w14:paraId="4D05E015" w14:textId="77777777" w:rsidR="00A32E48" w:rsidRPr="001937F3" w:rsidRDefault="00A32E48" w:rsidP="00AF5D78">
            <w:pPr>
              <w:pStyle w:val="ListParagraph"/>
              <w:numPr>
                <w:ilvl w:val="0"/>
                <w:numId w:val="5"/>
              </w:numPr>
              <w:spacing w:after="60"/>
              <w:ind w:left="714" w:hanging="357"/>
              <w:contextualSpacing w:val="0"/>
              <w:rPr>
                <w:rFonts w:cs="Arial"/>
              </w:rPr>
            </w:pPr>
            <w:r w:rsidRPr="001937F3">
              <w:rPr>
                <w:rFonts w:cs="Arial"/>
              </w:rPr>
              <w:t>Number of strategic or long-term funded partnerships with local actors</w:t>
            </w:r>
          </w:p>
          <w:p w14:paraId="7572763E" w14:textId="77777777" w:rsidR="00A32E48" w:rsidRPr="001937F3" w:rsidRDefault="00A32E48" w:rsidP="00AF5D78">
            <w:pPr>
              <w:pStyle w:val="ListParagraph"/>
              <w:numPr>
                <w:ilvl w:val="0"/>
                <w:numId w:val="5"/>
              </w:numPr>
              <w:spacing w:after="60"/>
              <w:ind w:left="714" w:hanging="357"/>
              <w:contextualSpacing w:val="0"/>
              <w:rPr>
                <w:rFonts w:cs="Arial"/>
              </w:rPr>
            </w:pPr>
            <w:r w:rsidRPr="001937F3">
              <w:rPr>
                <w:rFonts w:cs="Arial"/>
              </w:rPr>
              <w:t>Number of partnership dialogues, consultations, reviews, planning meetings, etc with local actors</w:t>
            </w:r>
          </w:p>
          <w:p w14:paraId="4D807D90" w14:textId="77777777" w:rsidR="00A32E48" w:rsidRPr="001937F3" w:rsidRDefault="00A32E48" w:rsidP="00AF5D78">
            <w:pPr>
              <w:pStyle w:val="ListParagraph"/>
              <w:numPr>
                <w:ilvl w:val="0"/>
                <w:numId w:val="5"/>
              </w:numPr>
              <w:spacing w:after="60"/>
              <w:ind w:left="714" w:hanging="357"/>
              <w:contextualSpacing w:val="0"/>
              <w:rPr>
                <w:rFonts w:cs="Arial"/>
              </w:rPr>
            </w:pPr>
            <w:r w:rsidRPr="001937F3">
              <w:rPr>
                <w:rFonts w:cs="Arial"/>
              </w:rPr>
              <w:t>Number of local actors represented in programme/project steering committees, with demonstrated participation in planning and decision-making</w:t>
            </w:r>
          </w:p>
          <w:p w14:paraId="60F1D031" w14:textId="264C3FF7" w:rsidR="00E70DBA" w:rsidRPr="001937F3" w:rsidRDefault="00E70DBA" w:rsidP="00AF5D78">
            <w:pPr>
              <w:pStyle w:val="ListParagraph"/>
              <w:numPr>
                <w:ilvl w:val="0"/>
                <w:numId w:val="5"/>
              </w:numPr>
              <w:spacing w:after="60"/>
              <w:ind w:left="714" w:hanging="357"/>
              <w:contextualSpacing w:val="0"/>
              <w:rPr>
                <w:rFonts w:cs="Arial"/>
              </w:rPr>
            </w:pPr>
            <w:r w:rsidRPr="001937F3">
              <w:rPr>
                <w:rFonts w:cs="Arial"/>
              </w:rPr>
              <w:t xml:space="preserve">Percentage of </w:t>
            </w:r>
            <w:r w:rsidR="002D0005">
              <w:rPr>
                <w:rFonts w:cs="Arial"/>
              </w:rPr>
              <w:t xml:space="preserve">multi-year </w:t>
            </w:r>
            <w:r w:rsidRPr="001937F3">
              <w:rPr>
                <w:rFonts w:cs="Arial"/>
              </w:rPr>
              <w:t xml:space="preserve">funding disbursed to local actors </w:t>
            </w:r>
          </w:p>
          <w:p w14:paraId="37CCDC51" w14:textId="75A9E1EF" w:rsidR="00E70DBA" w:rsidRPr="001937F3" w:rsidRDefault="00E70DBA" w:rsidP="00AF5D78">
            <w:pPr>
              <w:pStyle w:val="ListParagraph"/>
              <w:numPr>
                <w:ilvl w:val="0"/>
                <w:numId w:val="5"/>
              </w:numPr>
              <w:spacing w:after="60"/>
              <w:ind w:left="714" w:hanging="357"/>
              <w:contextualSpacing w:val="0"/>
              <w:rPr>
                <w:rFonts w:cs="Arial"/>
              </w:rPr>
            </w:pPr>
            <w:r w:rsidRPr="001937F3">
              <w:rPr>
                <w:rFonts w:cs="Arial"/>
              </w:rPr>
              <w:t>% of flexible funding for local actors’ overhead costs/indirect allowances</w:t>
            </w:r>
          </w:p>
          <w:p w14:paraId="18901D72" w14:textId="00AD1BC1" w:rsidR="00EA4C6D" w:rsidRPr="001937F3" w:rsidRDefault="00EA4C6D" w:rsidP="00AF5D78">
            <w:pPr>
              <w:pStyle w:val="ListParagraph"/>
              <w:numPr>
                <w:ilvl w:val="0"/>
                <w:numId w:val="5"/>
              </w:numPr>
              <w:spacing w:after="60"/>
              <w:ind w:left="714" w:hanging="357"/>
              <w:contextualSpacing w:val="0"/>
              <w:rPr>
                <w:rFonts w:cs="Arial"/>
              </w:rPr>
            </w:pPr>
            <w:r w:rsidRPr="001937F3">
              <w:rPr>
                <w:rFonts w:cs="Arial"/>
              </w:rPr>
              <w:t>Quantity and quality of investment for local actors</w:t>
            </w:r>
            <w:r w:rsidR="00B66E0F">
              <w:rPr>
                <w:rFonts w:cs="Arial"/>
              </w:rPr>
              <w:t>’</w:t>
            </w:r>
            <w:r w:rsidRPr="001937F3">
              <w:rPr>
                <w:rFonts w:cs="Arial"/>
              </w:rPr>
              <w:t xml:space="preserve"> long-term capacity strengthening</w:t>
            </w:r>
          </w:p>
          <w:p w14:paraId="2247B0BB" w14:textId="43B70958" w:rsidR="00E70DBA" w:rsidRPr="001937F3" w:rsidRDefault="00E70DBA" w:rsidP="00AF5D78">
            <w:pPr>
              <w:pStyle w:val="ListParagraph"/>
              <w:numPr>
                <w:ilvl w:val="0"/>
                <w:numId w:val="5"/>
              </w:numPr>
              <w:spacing w:after="60"/>
              <w:ind w:left="714" w:hanging="357"/>
              <w:contextualSpacing w:val="0"/>
              <w:rPr>
                <w:rFonts w:cs="Arial"/>
              </w:rPr>
            </w:pPr>
            <w:r w:rsidRPr="001937F3">
              <w:rPr>
                <w:rFonts w:cs="Arial"/>
              </w:rPr>
              <w:t>Mission statements, recruitment and staff orientation guidelines, partnership policies, programme design, transparency and feedback mechanisms and reporting protocols that support</w:t>
            </w:r>
            <w:r w:rsidR="008932BF">
              <w:rPr>
                <w:rFonts w:cs="Arial"/>
              </w:rPr>
              <w:t xml:space="preserve"> and </w:t>
            </w:r>
            <w:r w:rsidRPr="001937F3">
              <w:rPr>
                <w:rFonts w:cs="Arial"/>
              </w:rPr>
              <w:t xml:space="preserve">contribute to </w:t>
            </w:r>
            <w:proofErr w:type="gramStart"/>
            <w:r w:rsidRPr="001937F3">
              <w:rPr>
                <w:rFonts w:cs="Arial"/>
              </w:rPr>
              <w:t>locally-led</w:t>
            </w:r>
            <w:proofErr w:type="gramEnd"/>
            <w:r w:rsidRPr="001937F3">
              <w:rPr>
                <w:rFonts w:cs="Arial"/>
              </w:rPr>
              <w:t xml:space="preserve"> action objectives</w:t>
            </w:r>
          </w:p>
          <w:p w14:paraId="0A20F736" w14:textId="58BA0AEF" w:rsidR="00E70DBA" w:rsidRPr="00B66E0F" w:rsidRDefault="00E70DBA" w:rsidP="00AF5D78">
            <w:pPr>
              <w:pStyle w:val="ListParagraph"/>
              <w:numPr>
                <w:ilvl w:val="0"/>
                <w:numId w:val="5"/>
              </w:numPr>
              <w:spacing w:after="60"/>
              <w:ind w:left="714" w:hanging="357"/>
              <w:contextualSpacing w:val="0"/>
              <w:rPr>
                <w:i/>
                <w:iCs/>
                <w:color w:val="FF0000"/>
              </w:rPr>
            </w:pPr>
            <w:r w:rsidRPr="001937F3">
              <w:rPr>
                <w:rFonts w:cs="Arial"/>
              </w:rPr>
              <w:t>Number, nature and result of collaborations around integrating risk sharing approach in humanitarian programming.</w:t>
            </w:r>
          </w:p>
        </w:tc>
      </w:tr>
      <w:tr w:rsidR="00E70DBA" w:rsidRPr="00442794" w14:paraId="5ED4E22D" w14:textId="1219B833" w:rsidTr="00E70DBA">
        <w:trPr>
          <w:trHeight w:val="300"/>
        </w:trPr>
        <w:tc>
          <w:tcPr>
            <w:tcW w:w="10201" w:type="dxa"/>
            <w:tcBorders>
              <w:top w:val="single" w:sz="4" w:space="0" w:color="auto"/>
              <w:left w:val="single" w:sz="4" w:space="0" w:color="auto"/>
              <w:bottom w:val="single" w:sz="4" w:space="0" w:color="auto"/>
              <w:right w:val="single" w:sz="4" w:space="0" w:color="auto"/>
            </w:tcBorders>
          </w:tcPr>
          <w:p w14:paraId="090DDD67" w14:textId="3168E8C8" w:rsidR="00E70DBA" w:rsidRPr="00B66E0F" w:rsidRDefault="00E70DBA" w:rsidP="00AF5D78">
            <w:pPr>
              <w:spacing w:after="60"/>
              <w:rPr>
                <w:b/>
                <w:bCs/>
                <w:sz w:val="28"/>
                <w:szCs w:val="28"/>
              </w:rPr>
            </w:pPr>
            <w:r w:rsidRPr="00B66E0F">
              <w:rPr>
                <w:b/>
                <w:bCs/>
                <w:sz w:val="28"/>
                <w:szCs w:val="28"/>
              </w:rPr>
              <w:t>Resource implications</w:t>
            </w:r>
          </w:p>
          <w:p w14:paraId="25FD879B" w14:textId="27218008" w:rsidR="00E70DBA" w:rsidRDefault="00E70DBA" w:rsidP="00077443">
            <w:r>
              <w:t>States and National Societies will determine the resources that may be required to implement this pledge based on the actions to be taken in their specific context.</w:t>
            </w:r>
          </w:p>
          <w:p w14:paraId="601A2943" w14:textId="77777777" w:rsidR="00E70DBA" w:rsidRDefault="00E70DBA" w:rsidP="00077443"/>
          <w:p w14:paraId="1A258218" w14:textId="5067900C" w:rsidR="00E70DBA" w:rsidRPr="00BF5C95" w:rsidRDefault="007179D5" w:rsidP="0091125E">
            <w:pPr>
              <w:rPr>
                <w:i/>
                <w:iCs/>
                <w:color w:val="FF0000"/>
              </w:rPr>
            </w:pPr>
            <w:r>
              <w:t>A genuine</w:t>
            </w:r>
            <w:r w:rsidR="00845BDF" w:rsidRPr="00845BDF">
              <w:t xml:space="preserve"> commitment in promoting collaboration and open dialogue among local actors, intermediaries and donors </w:t>
            </w:r>
            <w:r w:rsidR="007B3FDF">
              <w:t xml:space="preserve">will </w:t>
            </w:r>
            <w:r w:rsidR="00C97FCE">
              <w:t xml:space="preserve">help </w:t>
            </w:r>
            <w:r w:rsidR="00845BDF" w:rsidRPr="00845BDF">
              <w:t xml:space="preserve">foster trust, </w:t>
            </w:r>
            <w:r w:rsidR="000965C4">
              <w:t>identi</w:t>
            </w:r>
            <w:r w:rsidR="00DF72C3">
              <w:t>f</w:t>
            </w:r>
            <w:r w:rsidR="000965C4">
              <w:t>y and address</w:t>
            </w:r>
            <w:r w:rsidR="00845BDF" w:rsidRPr="00845BDF">
              <w:t xml:space="preserve"> </w:t>
            </w:r>
            <w:r w:rsidR="00DF72C3" w:rsidRPr="00845BDF">
              <w:t>risks and</w:t>
            </w:r>
            <w:r w:rsidR="00845BDF" w:rsidRPr="00845BDF">
              <w:t xml:space="preserve"> build stronger partnerships. These efforts</w:t>
            </w:r>
            <w:r>
              <w:t>,</w:t>
            </w:r>
            <w:r w:rsidR="00DF72C3">
              <w:t xml:space="preserve"> requir</w:t>
            </w:r>
            <w:r>
              <w:t>ing</w:t>
            </w:r>
            <w:r w:rsidR="00DF72C3">
              <w:t xml:space="preserve"> time</w:t>
            </w:r>
            <w:r>
              <w:t xml:space="preserve"> and resource</w:t>
            </w:r>
            <w:r w:rsidR="00921903">
              <w:t xml:space="preserve">s, </w:t>
            </w:r>
            <w:r w:rsidR="00845BDF" w:rsidRPr="00845BDF">
              <w:t>are essential for achieving sustainable</w:t>
            </w:r>
            <w:r w:rsidR="000D2FE8">
              <w:t>,</w:t>
            </w:r>
            <w:r w:rsidR="00B50DEB">
              <w:t xml:space="preserve"> </w:t>
            </w:r>
            <w:proofErr w:type="gramStart"/>
            <w:r w:rsidR="00B50DEB">
              <w:t>locally-led</w:t>
            </w:r>
            <w:proofErr w:type="gramEnd"/>
            <w:r w:rsidR="00845BDF" w:rsidRPr="00845BDF">
              <w:t xml:space="preserve"> humanitarian outcomes</w:t>
            </w:r>
            <w:r w:rsidR="00B50DEB">
              <w:t>.</w:t>
            </w:r>
          </w:p>
        </w:tc>
      </w:tr>
    </w:tbl>
    <w:p w14:paraId="63D25908" w14:textId="01C64771" w:rsidR="0042281C" w:rsidRDefault="0042281C" w:rsidP="00E5309D"/>
    <w:sectPr w:rsidR="0042281C" w:rsidSect="00A85212">
      <w:footerReference w:type="even" r:id="rId11"/>
      <w:footerReference w:type="defaul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32682" w14:textId="77777777" w:rsidR="0063125B" w:rsidRDefault="0063125B" w:rsidP="00442794">
      <w:pPr>
        <w:spacing w:after="0" w:line="240" w:lineRule="auto"/>
      </w:pPr>
      <w:r>
        <w:separator/>
      </w:r>
    </w:p>
  </w:endnote>
  <w:endnote w:type="continuationSeparator" w:id="0">
    <w:p w14:paraId="35508198" w14:textId="77777777" w:rsidR="0063125B" w:rsidRDefault="0063125B" w:rsidP="00442794">
      <w:pPr>
        <w:spacing w:after="0" w:line="240" w:lineRule="auto"/>
      </w:pPr>
      <w:r>
        <w:continuationSeparator/>
      </w:r>
    </w:p>
  </w:endnote>
  <w:endnote w:type="continuationNotice" w:id="1">
    <w:p w14:paraId="4C3ECCC6" w14:textId="77777777" w:rsidR="0063125B" w:rsidRDefault="006312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B1483" w14:textId="25492A86" w:rsidR="00FE405A" w:rsidRDefault="00FE405A">
    <w:pPr>
      <w:pStyle w:val="Footer"/>
    </w:pPr>
    <w:r>
      <w:rPr>
        <w:noProof/>
      </w:rPr>
      <mc:AlternateContent>
        <mc:Choice Requires="wps">
          <w:drawing>
            <wp:anchor distT="0" distB="0" distL="0" distR="0" simplePos="0" relativeHeight="251658241" behindDoc="0" locked="0" layoutInCell="1" allowOverlap="1" wp14:anchorId="02F12B47" wp14:editId="3058905B">
              <wp:simplePos x="635" y="635"/>
              <wp:positionH relativeFrom="page">
                <wp:align>left</wp:align>
              </wp:positionH>
              <wp:positionV relativeFrom="page">
                <wp:align>bottom</wp:align>
              </wp:positionV>
              <wp:extent cx="657225" cy="357505"/>
              <wp:effectExtent l="0" t="0" r="9525" b="0"/>
              <wp:wrapNone/>
              <wp:docPr id="484788660"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7225" cy="357505"/>
                      </a:xfrm>
                      <a:prstGeom prst="rect">
                        <a:avLst/>
                      </a:prstGeom>
                      <a:noFill/>
                      <a:ln>
                        <a:noFill/>
                      </a:ln>
                    </wps:spPr>
                    <wps:txbx>
                      <w:txbxContent>
                        <w:p w14:paraId="258C3F02" w14:textId="105A02C0" w:rsidR="00FE405A" w:rsidRPr="00FE405A" w:rsidRDefault="00FE405A" w:rsidP="00FE405A">
                          <w:pPr>
                            <w:spacing w:after="0"/>
                            <w:rPr>
                              <w:rFonts w:ascii="Calibri" w:eastAsia="Calibri" w:hAnsi="Calibri" w:cs="Calibri"/>
                              <w:noProof/>
                              <w:color w:val="000000"/>
                              <w:sz w:val="20"/>
                              <w:szCs w:val="20"/>
                            </w:rPr>
                          </w:pPr>
                          <w:r w:rsidRPr="00FE405A">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F12B47" id="_x0000_t202" coordsize="21600,21600" o:spt="202" path="m,l,21600r21600,l21600,xe">
              <v:stroke joinstyle="miter"/>
              <v:path gradientshapeok="t" o:connecttype="rect"/>
            </v:shapetype>
            <v:shape id="Text Box 2" o:spid="_x0000_s1026" type="#_x0000_t202" alt="Internal" style="position:absolute;margin-left:0;margin-top:0;width:51.7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" filled="f" stroked="f">
              <v:textbox style="mso-fit-shape-to-text:t" inset="20pt,0,0,15pt">
                <w:txbxContent>
                  <w:p w14:paraId="258C3F02" w14:textId="105A02C0" w:rsidR="00FE405A" w:rsidRPr="00FE405A" w:rsidRDefault="00FE405A" w:rsidP="00FE405A">
                    <w:pPr>
                      <w:spacing w:after="0"/>
                      <w:rPr>
                        <w:rFonts w:ascii="Calibri" w:eastAsia="Calibri" w:hAnsi="Calibri" w:cs="Calibri"/>
                        <w:noProof/>
                        <w:color w:val="000000"/>
                        <w:sz w:val="20"/>
                        <w:szCs w:val="20"/>
                      </w:rPr>
                    </w:pPr>
                    <w:r w:rsidRPr="00FE405A">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125220"/>
      <w:docPartObj>
        <w:docPartGallery w:val="Page Numbers (Bottom of Page)"/>
        <w:docPartUnique/>
      </w:docPartObj>
    </w:sdtPr>
    <w:sdtEndPr>
      <w:rPr>
        <w:noProof/>
      </w:rPr>
    </w:sdtEndPr>
    <w:sdtContent>
      <w:p w14:paraId="47B24D25" w14:textId="7B9404E1" w:rsidR="00556CDB" w:rsidRDefault="00556C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2EB2A5" w14:textId="2637D9FC" w:rsidR="00FE405A" w:rsidRDefault="00FE40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EB22A" w14:textId="03769776" w:rsidR="00FE405A" w:rsidRDefault="00FE405A">
    <w:pPr>
      <w:pStyle w:val="Footer"/>
    </w:pPr>
    <w:r>
      <w:rPr>
        <w:noProof/>
      </w:rPr>
      <mc:AlternateContent>
        <mc:Choice Requires="wps">
          <w:drawing>
            <wp:anchor distT="0" distB="0" distL="0" distR="0" simplePos="0" relativeHeight="251658240" behindDoc="0" locked="0" layoutInCell="1" allowOverlap="1" wp14:anchorId="779D3972" wp14:editId="355D83B8">
              <wp:simplePos x="635" y="635"/>
              <wp:positionH relativeFrom="page">
                <wp:align>left</wp:align>
              </wp:positionH>
              <wp:positionV relativeFrom="page">
                <wp:align>bottom</wp:align>
              </wp:positionV>
              <wp:extent cx="657225" cy="357505"/>
              <wp:effectExtent l="0" t="0" r="9525" b="0"/>
              <wp:wrapNone/>
              <wp:docPr id="55464912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7225" cy="357505"/>
                      </a:xfrm>
                      <a:prstGeom prst="rect">
                        <a:avLst/>
                      </a:prstGeom>
                      <a:noFill/>
                      <a:ln>
                        <a:noFill/>
                      </a:ln>
                    </wps:spPr>
                    <wps:txbx>
                      <w:txbxContent>
                        <w:p w14:paraId="0839A385" w14:textId="2642E049" w:rsidR="00FE405A" w:rsidRPr="00FE405A" w:rsidRDefault="00FE405A" w:rsidP="00FE405A">
                          <w:pPr>
                            <w:spacing w:after="0"/>
                            <w:rPr>
                              <w:rFonts w:ascii="Calibri" w:eastAsia="Calibri" w:hAnsi="Calibri" w:cs="Calibri"/>
                              <w:noProof/>
                              <w:color w:val="000000"/>
                              <w:sz w:val="20"/>
                              <w:szCs w:val="20"/>
                            </w:rPr>
                          </w:pPr>
                          <w:r w:rsidRPr="00FE405A">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9D3972" id="_x0000_t202" coordsize="21600,21600" o:spt="202" path="m,l,21600r21600,l21600,xe">
              <v:stroke joinstyle="miter"/>
              <v:path gradientshapeok="t" o:connecttype="rect"/>
            </v:shapetype>
            <v:shape id="Text Box 1" o:spid="_x0000_s1027" type="#_x0000_t202" alt="Internal" style="position:absolute;margin-left:0;margin-top:0;width:51.7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" filled="f" stroked="f">
              <v:textbox style="mso-fit-shape-to-text:t" inset="20pt,0,0,15pt">
                <w:txbxContent>
                  <w:p w14:paraId="0839A385" w14:textId="2642E049" w:rsidR="00FE405A" w:rsidRPr="00FE405A" w:rsidRDefault="00FE405A" w:rsidP="00FE405A">
                    <w:pPr>
                      <w:spacing w:after="0"/>
                      <w:rPr>
                        <w:rFonts w:ascii="Calibri" w:eastAsia="Calibri" w:hAnsi="Calibri" w:cs="Calibri"/>
                        <w:noProof/>
                        <w:color w:val="000000"/>
                        <w:sz w:val="20"/>
                        <w:szCs w:val="20"/>
                      </w:rPr>
                    </w:pPr>
                    <w:r w:rsidRPr="00FE405A">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50767" w14:textId="77777777" w:rsidR="0063125B" w:rsidRDefault="0063125B" w:rsidP="00442794">
      <w:pPr>
        <w:spacing w:after="0" w:line="240" w:lineRule="auto"/>
      </w:pPr>
      <w:r>
        <w:separator/>
      </w:r>
    </w:p>
  </w:footnote>
  <w:footnote w:type="continuationSeparator" w:id="0">
    <w:p w14:paraId="72C6DF10" w14:textId="77777777" w:rsidR="0063125B" w:rsidRDefault="0063125B" w:rsidP="00442794">
      <w:pPr>
        <w:spacing w:after="0" w:line="240" w:lineRule="auto"/>
      </w:pPr>
      <w:r>
        <w:continuationSeparator/>
      </w:r>
    </w:p>
  </w:footnote>
  <w:footnote w:type="continuationNotice" w:id="1">
    <w:p w14:paraId="06B1DCE5" w14:textId="77777777" w:rsidR="0063125B" w:rsidRDefault="0063125B">
      <w:pPr>
        <w:spacing w:after="0" w:line="240" w:lineRule="auto"/>
      </w:pPr>
    </w:p>
  </w:footnote>
  <w:footnote w:id="2">
    <w:p w14:paraId="7D57D162" w14:textId="77777777" w:rsidR="00E70DBA" w:rsidRPr="009F2467" w:rsidRDefault="00E70DBA" w:rsidP="006F336E">
      <w:pPr>
        <w:pStyle w:val="FootnoteText"/>
        <w:rPr>
          <w:sz w:val="16"/>
          <w:szCs w:val="16"/>
        </w:rPr>
      </w:pPr>
      <w:r>
        <w:rPr>
          <w:rStyle w:val="FootnoteReference"/>
        </w:rPr>
        <w:footnoteRef/>
      </w:r>
      <w:r>
        <w:t xml:space="preserve"> </w:t>
      </w:r>
      <w:r w:rsidRPr="009F2467">
        <w:rPr>
          <w:sz w:val="16"/>
          <w:szCs w:val="16"/>
        </w:rPr>
        <w:t xml:space="preserve">The Grand Bargain is a set of commitments by a group of major donors and aid agencies at the World Humanitarian Summit in 2016 ‘to make aid as local as possible, as international as necessary.’ As agreed by Grand Bargain signatories, local and national actors are defined as : (1) local and national non-state actors – organizations engaged in relief that are headquartered and operating in their own aid recipient country and which are not affiliated to an international NGO; (2) national and sub national state actors – State authorities of the affected aid recipient country engaged in relief, whether at local or national level  </w:t>
      </w:r>
      <w:hyperlink r:id="rId1" w:history="1">
        <w:r w:rsidRPr="009F2467">
          <w:rPr>
            <w:rStyle w:val="Hyperlink"/>
            <w:sz w:val="16"/>
            <w:szCs w:val="16"/>
          </w:rPr>
          <w:t>https://gblocalisation.ifrc.org/wp-content/uploads/2018/06/categories_for_tracking_direct_as_possible_funding_to_local_and_national_actors_003.pdf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778FC"/>
    <w:multiLevelType w:val="hybridMultilevel"/>
    <w:tmpl w:val="6A8287AA"/>
    <w:lvl w:ilvl="0" w:tplc="02EA4DA0">
      <w:start w:val="1"/>
      <w:numFmt w:val="decimal"/>
      <w:lvlText w:val="%1."/>
      <w:lvlJc w:val="left"/>
      <w:pPr>
        <w:ind w:left="720" w:hanging="360"/>
      </w:pPr>
      <w:rPr>
        <w:rFonts w:hint="default"/>
        <w:b w:val="0"/>
        <w:bCs w:val="0"/>
        <w:i w:val="0"/>
        <w:i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7D37EC"/>
    <w:multiLevelType w:val="hybridMultilevel"/>
    <w:tmpl w:val="513CEE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57063D"/>
    <w:multiLevelType w:val="hybridMultilevel"/>
    <w:tmpl w:val="F22E96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24C5788"/>
    <w:multiLevelType w:val="multilevel"/>
    <w:tmpl w:val="A3D80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5842B8"/>
    <w:multiLevelType w:val="hybridMultilevel"/>
    <w:tmpl w:val="37AACE1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64055C90"/>
    <w:multiLevelType w:val="hybridMultilevel"/>
    <w:tmpl w:val="F5AED098"/>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6866701B"/>
    <w:multiLevelType w:val="hybridMultilevel"/>
    <w:tmpl w:val="195ADA9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6B9A4BB5"/>
    <w:multiLevelType w:val="hybridMultilevel"/>
    <w:tmpl w:val="66B480A4"/>
    <w:lvl w:ilvl="0" w:tplc="FFFFFFFF">
      <w:start w:val="1"/>
      <w:numFmt w:val="decimal"/>
      <w:lvlText w:val="%1."/>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1D1581"/>
    <w:multiLevelType w:val="hybridMultilevel"/>
    <w:tmpl w:val="A5B00126"/>
    <w:lvl w:ilvl="0" w:tplc="8D8EEA38">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36976376">
    <w:abstractNumId w:val="4"/>
  </w:num>
  <w:num w:numId="2" w16cid:durableId="668826413">
    <w:abstractNumId w:val="2"/>
  </w:num>
  <w:num w:numId="3" w16cid:durableId="950819812">
    <w:abstractNumId w:val="1"/>
  </w:num>
  <w:num w:numId="4" w16cid:durableId="1550876609">
    <w:abstractNumId w:val="3"/>
  </w:num>
  <w:num w:numId="5" w16cid:durableId="574555348">
    <w:abstractNumId w:val="8"/>
  </w:num>
  <w:num w:numId="6" w16cid:durableId="59452412">
    <w:abstractNumId w:val="6"/>
  </w:num>
  <w:num w:numId="7" w16cid:durableId="677343306">
    <w:abstractNumId w:val="0"/>
  </w:num>
  <w:num w:numId="8" w16cid:durableId="1298222831">
    <w:abstractNumId w:val="5"/>
  </w:num>
  <w:num w:numId="9" w16cid:durableId="21048406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94"/>
    <w:rsid w:val="0000106C"/>
    <w:rsid w:val="000104FD"/>
    <w:rsid w:val="00014391"/>
    <w:rsid w:val="00023785"/>
    <w:rsid w:val="00024C05"/>
    <w:rsid w:val="00027D2E"/>
    <w:rsid w:val="00032E75"/>
    <w:rsid w:val="0004086A"/>
    <w:rsid w:val="00056526"/>
    <w:rsid w:val="00062C04"/>
    <w:rsid w:val="00064AA3"/>
    <w:rsid w:val="00074290"/>
    <w:rsid w:val="00075858"/>
    <w:rsid w:val="00075AD4"/>
    <w:rsid w:val="00077443"/>
    <w:rsid w:val="000839B0"/>
    <w:rsid w:val="00085026"/>
    <w:rsid w:val="00091805"/>
    <w:rsid w:val="0009218C"/>
    <w:rsid w:val="00095E5E"/>
    <w:rsid w:val="000965C4"/>
    <w:rsid w:val="000A40C1"/>
    <w:rsid w:val="000A59C5"/>
    <w:rsid w:val="000B1AD7"/>
    <w:rsid w:val="000D037A"/>
    <w:rsid w:val="000D0AF2"/>
    <w:rsid w:val="000D0B04"/>
    <w:rsid w:val="000D1D26"/>
    <w:rsid w:val="000D2FE8"/>
    <w:rsid w:val="000D3143"/>
    <w:rsid w:val="000D54B5"/>
    <w:rsid w:val="000D7C24"/>
    <w:rsid w:val="000F1F25"/>
    <w:rsid w:val="000F5F86"/>
    <w:rsid w:val="00100EDA"/>
    <w:rsid w:val="00101D64"/>
    <w:rsid w:val="00114B2F"/>
    <w:rsid w:val="001157C4"/>
    <w:rsid w:val="00122C0D"/>
    <w:rsid w:val="00123B9E"/>
    <w:rsid w:val="00123E0E"/>
    <w:rsid w:val="001241C2"/>
    <w:rsid w:val="00136192"/>
    <w:rsid w:val="00141A29"/>
    <w:rsid w:val="001472F7"/>
    <w:rsid w:val="00155C40"/>
    <w:rsid w:val="00156F81"/>
    <w:rsid w:val="0016272F"/>
    <w:rsid w:val="00163F6A"/>
    <w:rsid w:val="001712B1"/>
    <w:rsid w:val="00182AA8"/>
    <w:rsid w:val="001842B1"/>
    <w:rsid w:val="001937F3"/>
    <w:rsid w:val="001A00D5"/>
    <w:rsid w:val="001A1AC5"/>
    <w:rsid w:val="001A2762"/>
    <w:rsid w:val="001C0F17"/>
    <w:rsid w:val="001E043E"/>
    <w:rsid w:val="001E27E2"/>
    <w:rsid w:val="001E57FD"/>
    <w:rsid w:val="001F44CB"/>
    <w:rsid w:val="00205712"/>
    <w:rsid w:val="00224158"/>
    <w:rsid w:val="00232676"/>
    <w:rsid w:val="00233574"/>
    <w:rsid w:val="0023439A"/>
    <w:rsid w:val="002431DF"/>
    <w:rsid w:val="002459C7"/>
    <w:rsid w:val="0024705C"/>
    <w:rsid w:val="002508CD"/>
    <w:rsid w:val="0028081C"/>
    <w:rsid w:val="00280FDF"/>
    <w:rsid w:val="00281208"/>
    <w:rsid w:val="002911C7"/>
    <w:rsid w:val="002B0776"/>
    <w:rsid w:val="002B4925"/>
    <w:rsid w:val="002C74E1"/>
    <w:rsid w:val="002D0005"/>
    <w:rsid w:val="002D7E16"/>
    <w:rsid w:val="002F02AD"/>
    <w:rsid w:val="002F624A"/>
    <w:rsid w:val="002F64A4"/>
    <w:rsid w:val="002F7E49"/>
    <w:rsid w:val="00300899"/>
    <w:rsid w:val="0031560E"/>
    <w:rsid w:val="00331846"/>
    <w:rsid w:val="0034271C"/>
    <w:rsid w:val="00351DF2"/>
    <w:rsid w:val="00352538"/>
    <w:rsid w:val="0035466A"/>
    <w:rsid w:val="00371F4F"/>
    <w:rsid w:val="0037291A"/>
    <w:rsid w:val="00373E4C"/>
    <w:rsid w:val="00381F68"/>
    <w:rsid w:val="003857EC"/>
    <w:rsid w:val="003915C1"/>
    <w:rsid w:val="003963C7"/>
    <w:rsid w:val="003A0606"/>
    <w:rsid w:val="003A6D23"/>
    <w:rsid w:val="003A714D"/>
    <w:rsid w:val="003C560E"/>
    <w:rsid w:val="003C5628"/>
    <w:rsid w:val="003C5F71"/>
    <w:rsid w:val="003D1633"/>
    <w:rsid w:val="003D756D"/>
    <w:rsid w:val="003E1FF7"/>
    <w:rsid w:val="003E394B"/>
    <w:rsid w:val="003E5182"/>
    <w:rsid w:val="003E567F"/>
    <w:rsid w:val="003E643A"/>
    <w:rsid w:val="003F3D58"/>
    <w:rsid w:val="00402BD6"/>
    <w:rsid w:val="00403CD8"/>
    <w:rsid w:val="00404442"/>
    <w:rsid w:val="0040470B"/>
    <w:rsid w:val="00406789"/>
    <w:rsid w:val="0041226F"/>
    <w:rsid w:val="00420193"/>
    <w:rsid w:val="0042281C"/>
    <w:rsid w:val="00424C71"/>
    <w:rsid w:val="004327D2"/>
    <w:rsid w:val="00432B57"/>
    <w:rsid w:val="0043392F"/>
    <w:rsid w:val="004340C8"/>
    <w:rsid w:val="0043625D"/>
    <w:rsid w:val="00442794"/>
    <w:rsid w:val="0045202B"/>
    <w:rsid w:val="00453F43"/>
    <w:rsid w:val="004566B2"/>
    <w:rsid w:val="004714AD"/>
    <w:rsid w:val="0048135B"/>
    <w:rsid w:val="00482F48"/>
    <w:rsid w:val="004A3153"/>
    <w:rsid w:val="004B10BC"/>
    <w:rsid w:val="004B5F68"/>
    <w:rsid w:val="004B7639"/>
    <w:rsid w:val="004C180B"/>
    <w:rsid w:val="004C45A8"/>
    <w:rsid w:val="004D0019"/>
    <w:rsid w:val="004D0ADB"/>
    <w:rsid w:val="004D4F5A"/>
    <w:rsid w:val="004D590C"/>
    <w:rsid w:val="004E37B6"/>
    <w:rsid w:val="004F02A7"/>
    <w:rsid w:val="004F7868"/>
    <w:rsid w:val="005007CE"/>
    <w:rsid w:val="0050587D"/>
    <w:rsid w:val="00507547"/>
    <w:rsid w:val="00510E00"/>
    <w:rsid w:val="00511460"/>
    <w:rsid w:val="005139EA"/>
    <w:rsid w:val="005150AD"/>
    <w:rsid w:val="005164E6"/>
    <w:rsid w:val="00533C04"/>
    <w:rsid w:val="00536055"/>
    <w:rsid w:val="005423DB"/>
    <w:rsid w:val="00542B85"/>
    <w:rsid w:val="0054415C"/>
    <w:rsid w:val="00544C62"/>
    <w:rsid w:val="00546074"/>
    <w:rsid w:val="005509A2"/>
    <w:rsid w:val="00554AE3"/>
    <w:rsid w:val="00555046"/>
    <w:rsid w:val="00556CDB"/>
    <w:rsid w:val="00562DF6"/>
    <w:rsid w:val="005632B6"/>
    <w:rsid w:val="00563EB9"/>
    <w:rsid w:val="0056607B"/>
    <w:rsid w:val="00567EFD"/>
    <w:rsid w:val="00572975"/>
    <w:rsid w:val="00573911"/>
    <w:rsid w:val="0057428A"/>
    <w:rsid w:val="0058381C"/>
    <w:rsid w:val="0058495A"/>
    <w:rsid w:val="005852D5"/>
    <w:rsid w:val="0059220E"/>
    <w:rsid w:val="005927A6"/>
    <w:rsid w:val="005A4F25"/>
    <w:rsid w:val="005B0739"/>
    <w:rsid w:val="005B07CE"/>
    <w:rsid w:val="005B1309"/>
    <w:rsid w:val="005B58E2"/>
    <w:rsid w:val="005B6E9B"/>
    <w:rsid w:val="005C1AD3"/>
    <w:rsid w:val="005C49A1"/>
    <w:rsid w:val="005D1671"/>
    <w:rsid w:val="005D34E4"/>
    <w:rsid w:val="005D3867"/>
    <w:rsid w:val="005D49AC"/>
    <w:rsid w:val="005D7019"/>
    <w:rsid w:val="005E36D0"/>
    <w:rsid w:val="005F184F"/>
    <w:rsid w:val="005F397C"/>
    <w:rsid w:val="005F3B1B"/>
    <w:rsid w:val="00600362"/>
    <w:rsid w:val="00603F77"/>
    <w:rsid w:val="00605261"/>
    <w:rsid w:val="006106A6"/>
    <w:rsid w:val="00617D2E"/>
    <w:rsid w:val="0062492A"/>
    <w:rsid w:val="0063125B"/>
    <w:rsid w:val="00631E05"/>
    <w:rsid w:val="00637143"/>
    <w:rsid w:val="00642382"/>
    <w:rsid w:val="00653478"/>
    <w:rsid w:val="00654261"/>
    <w:rsid w:val="0068649E"/>
    <w:rsid w:val="00693C9B"/>
    <w:rsid w:val="00695056"/>
    <w:rsid w:val="006A1671"/>
    <w:rsid w:val="006A16EB"/>
    <w:rsid w:val="006A3849"/>
    <w:rsid w:val="006A6619"/>
    <w:rsid w:val="006B00E8"/>
    <w:rsid w:val="006B10AE"/>
    <w:rsid w:val="006B1330"/>
    <w:rsid w:val="006B2350"/>
    <w:rsid w:val="006B25B5"/>
    <w:rsid w:val="006B2A1B"/>
    <w:rsid w:val="006B6761"/>
    <w:rsid w:val="006C357D"/>
    <w:rsid w:val="006E475C"/>
    <w:rsid w:val="006E5535"/>
    <w:rsid w:val="006E5584"/>
    <w:rsid w:val="006E69C6"/>
    <w:rsid w:val="006F076A"/>
    <w:rsid w:val="006F159F"/>
    <w:rsid w:val="006F336E"/>
    <w:rsid w:val="006F7773"/>
    <w:rsid w:val="00702189"/>
    <w:rsid w:val="00702980"/>
    <w:rsid w:val="007055A0"/>
    <w:rsid w:val="00705FE6"/>
    <w:rsid w:val="00707BC0"/>
    <w:rsid w:val="00716ED1"/>
    <w:rsid w:val="007179D5"/>
    <w:rsid w:val="007247AF"/>
    <w:rsid w:val="00726713"/>
    <w:rsid w:val="00736DAC"/>
    <w:rsid w:val="00750DB2"/>
    <w:rsid w:val="00772918"/>
    <w:rsid w:val="007752D5"/>
    <w:rsid w:val="007801FC"/>
    <w:rsid w:val="0078660C"/>
    <w:rsid w:val="007930A8"/>
    <w:rsid w:val="007A07D8"/>
    <w:rsid w:val="007A4FFD"/>
    <w:rsid w:val="007A79BE"/>
    <w:rsid w:val="007B0D86"/>
    <w:rsid w:val="007B21DD"/>
    <w:rsid w:val="007B26CF"/>
    <w:rsid w:val="007B3FDF"/>
    <w:rsid w:val="007C3B0B"/>
    <w:rsid w:val="007C4DA7"/>
    <w:rsid w:val="007C6093"/>
    <w:rsid w:val="007C6D46"/>
    <w:rsid w:val="007D09B9"/>
    <w:rsid w:val="007E2FED"/>
    <w:rsid w:val="007E350C"/>
    <w:rsid w:val="007E3846"/>
    <w:rsid w:val="007E6B79"/>
    <w:rsid w:val="007F4D2A"/>
    <w:rsid w:val="007F5F5F"/>
    <w:rsid w:val="007F5FB9"/>
    <w:rsid w:val="00815077"/>
    <w:rsid w:val="008166B5"/>
    <w:rsid w:val="00816DB9"/>
    <w:rsid w:val="00820A51"/>
    <w:rsid w:val="00821CAC"/>
    <w:rsid w:val="00824479"/>
    <w:rsid w:val="0082601F"/>
    <w:rsid w:val="00826C99"/>
    <w:rsid w:val="00831AB1"/>
    <w:rsid w:val="00834AF8"/>
    <w:rsid w:val="008355E4"/>
    <w:rsid w:val="00835B4A"/>
    <w:rsid w:val="00845BDF"/>
    <w:rsid w:val="00846073"/>
    <w:rsid w:val="00854F9B"/>
    <w:rsid w:val="00856EB8"/>
    <w:rsid w:val="0086031C"/>
    <w:rsid w:val="008709FE"/>
    <w:rsid w:val="00870BF9"/>
    <w:rsid w:val="00872EFA"/>
    <w:rsid w:val="00874172"/>
    <w:rsid w:val="00877C58"/>
    <w:rsid w:val="00885AA5"/>
    <w:rsid w:val="00887525"/>
    <w:rsid w:val="008932BF"/>
    <w:rsid w:val="008A32A2"/>
    <w:rsid w:val="008A4F1C"/>
    <w:rsid w:val="008A4F47"/>
    <w:rsid w:val="008B1F16"/>
    <w:rsid w:val="008B6FD8"/>
    <w:rsid w:val="008C15D9"/>
    <w:rsid w:val="008C54C1"/>
    <w:rsid w:val="008C6709"/>
    <w:rsid w:val="008D4B25"/>
    <w:rsid w:val="008D5BBF"/>
    <w:rsid w:val="008E439A"/>
    <w:rsid w:val="008E6482"/>
    <w:rsid w:val="008F0334"/>
    <w:rsid w:val="008F138D"/>
    <w:rsid w:val="008F49F1"/>
    <w:rsid w:val="008F5349"/>
    <w:rsid w:val="009025EC"/>
    <w:rsid w:val="0091125E"/>
    <w:rsid w:val="00916DB1"/>
    <w:rsid w:val="00921903"/>
    <w:rsid w:val="00926AF1"/>
    <w:rsid w:val="00937526"/>
    <w:rsid w:val="00937DE3"/>
    <w:rsid w:val="009515BD"/>
    <w:rsid w:val="00953E1C"/>
    <w:rsid w:val="0096647C"/>
    <w:rsid w:val="009733A5"/>
    <w:rsid w:val="00975AA3"/>
    <w:rsid w:val="00976AF9"/>
    <w:rsid w:val="009A052C"/>
    <w:rsid w:val="009A3184"/>
    <w:rsid w:val="009A3290"/>
    <w:rsid w:val="009A5282"/>
    <w:rsid w:val="009A62BE"/>
    <w:rsid w:val="009B3832"/>
    <w:rsid w:val="009C6763"/>
    <w:rsid w:val="009D00B0"/>
    <w:rsid w:val="009D5090"/>
    <w:rsid w:val="009D526A"/>
    <w:rsid w:val="009E09D3"/>
    <w:rsid w:val="009E1BA5"/>
    <w:rsid w:val="009E2D7C"/>
    <w:rsid w:val="009F2467"/>
    <w:rsid w:val="009F6F4E"/>
    <w:rsid w:val="00A03FE8"/>
    <w:rsid w:val="00A07C03"/>
    <w:rsid w:val="00A10924"/>
    <w:rsid w:val="00A14C07"/>
    <w:rsid w:val="00A1656A"/>
    <w:rsid w:val="00A16BB9"/>
    <w:rsid w:val="00A16EAC"/>
    <w:rsid w:val="00A176A0"/>
    <w:rsid w:val="00A21803"/>
    <w:rsid w:val="00A23619"/>
    <w:rsid w:val="00A24957"/>
    <w:rsid w:val="00A25425"/>
    <w:rsid w:val="00A31CD6"/>
    <w:rsid w:val="00A32E48"/>
    <w:rsid w:val="00A36F7C"/>
    <w:rsid w:val="00A370DB"/>
    <w:rsid w:val="00A461C7"/>
    <w:rsid w:val="00A47884"/>
    <w:rsid w:val="00A50F30"/>
    <w:rsid w:val="00A60147"/>
    <w:rsid w:val="00A60A8F"/>
    <w:rsid w:val="00A658B0"/>
    <w:rsid w:val="00A73116"/>
    <w:rsid w:val="00A77685"/>
    <w:rsid w:val="00A81F27"/>
    <w:rsid w:val="00A8254D"/>
    <w:rsid w:val="00A8509A"/>
    <w:rsid w:val="00A85212"/>
    <w:rsid w:val="00A949BE"/>
    <w:rsid w:val="00AA45CA"/>
    <w:rsid w:val="00AA475B"/>
    <w:rsid w:val="00AA4B02"/>
    <w:rsid w:val="00AC451B"/>
    <w:rsid w:val="00AD3417"/>
    <w:rsid w:val="00AD590C"/>
    <w:rsid w:val="00AE58AF"/>
    <w:rsid w:val="00AF0F6E"/>
    <w:rsid w:val="00AF5D78"/>
    <w:rsid w:val="00AF6D56"/>
    <w:rsid w:val="00AF70A9"/>
    <w:rsid w:val="00B00FC9"/>
    <w:rsid w:val="00B02836"/>
    <w:rsid w:val="00B04F75"/>
    <w:rsid w:val="00B056D3"/>
    <w:rsid w:val="00B20527"/>
    <w:rsid w:val="00B3232D"/>
    <w:rsid w:val="00B361B8"/>
    <w:rsid w:val="00B3633D"/>
    <w:rsid w:val="00B3789E"/>
    <w:rsid w:val="00B4095A"/>
    <w:rsid w:val="00B40A7A"/>
    <w:rsid w:val="00B465D7"/>
    <w:rsid w:val="00B5003F"/>
    <w:rsid w:val="00B50D79"/>
    <w:rsid w:val="00B50DEB"/>
    <w:rsid w:val="00B513C8"/>
    <w:rsid w:val="00B5190F"/>
    <w:rsid w:val="00B51A7B"/>
    <w:rsid w:val="00B525B8"/>
    <w:rsid w:val="00B55815"/>
    <w:rsid w:val="00B64905"/>
    <w:rsid w:val="00B66E0F"/>
    <w:rsid w:val="00B67282"/>
    <w:rsid w:val="00B71455"/>
    <w:rsid w:val="00B72DB6"/>
    <w:rsid w:val="00B75B50"/>
    <w:rsid w:val="00B76253"/>
    <w:rsid w:val="00B85A82"/>
    <w:rsid w:val="00B87369"/>
    <w:rsid w:val="00B90F37"/>
    <w:rsid w:val="00B93AE4"/>
    <w:rsid w:val="00B970DE"/>
    <w:rsid w:val="00B9738F"/>
    <w:rsid w:val="00B97E09"/>
    <w:rsid w:val="00BC3DA0"/>
    <w:rsid w:val="00BC5AF9"/>
    <w:rsid w:val="00BC64B1"/>
    <w:rsid w:val="00BD2F95"/>
    <w:rsid w:val="00BE2EF6"/>
    <w:rsid w:val="00BE6F7B"/>
    <w:rsid w:val="00BE7FF3"/>
    <w:rsid w:val="00BF5C95"/>
    <w:rsid w:val="00C02AC1"/>
    <w:rsid w:val="00C15E13"/>
    <w:rsid w:val="00C25F4C"/>
    <w:rsid w:val="00C27459"/>
    <w:rsid w:val="00C4072E"/>
    <w:rsid w:val="00C454BE"/>
    <w:rsid w:val="00C501A5"/>
    <w:rsid w:val="00C56E02"/>
    <w:rsid w:val="00C5714F"/>
    <w:rsid w:val="00C57483"/>
    <w:rsid w:val="00C60587"/>
    <w:rsid w:val="00C60735"/>
    <w:rsid w:val="00C61CFB"/>
    <w:rsid w:val="00C64927"/>
    <w:rsid w:val="00C6673C"/>
    <w:rsid w:val="00C737E7"/>
    <w:rsid w:val="00C74726"/>
    <w:rsid w:val="00C8560D"/>
    <w:rsid w:val="00C94CED"/>
    <w:rsid w:val="00C97FCE"/>
    <w:rsid w:val="00CA18A1"/>
    <w:rsid w:val="00CC2FF8"/>
    <w:rsid w:val="00CD366F"/>
    <w:rsid w:val="00CE21BA"/>
    <w:rsid w:val="00CE4D74"/>
    <w:rsid w:val="00CE7F92"/>
    <w:rsid w:val="00CF0B01"/>
    <w:rsid w:val="00CF3C51"/>
    <w:rsid w:val="00D01131"/>
    <w:rsid w:val="00D02432"/>
    <w:rsid w:val="00D038FF"/>
    <w:rsid w:val="00D05768"/>
    <w:rsid w:val="00D116FE"/>
    <w:rsid w:val="00D145A0"/>
    <w:rsid w:val="00D22037"/>
    <w:rsid w:val="00D26339"/>
    <w:rsid w:val="00D2732F"/>
    <w:rsid w:val="00D31478"/>
    <w:rsid w:val="00D32092"/>
    <w:rsid w:val="00D40FDD"/>
    <w:rsid w:val="00D425D6"/>
    <w:rsid w:val="00D4329D"/>
    <w:rsid w:val="00D443B2"/>
    <w:rsid w:val="00D44E05"/>
    <w:rsid w:val="00D455F8"/>
    <w:rsid w:val="00D45D38"/>
    <w:rsid w:val="00D518B1"/>
    <w:rsid w:val="00D53E17"/>
    <w:rsid w:val="00D54EEC"/>
    <w:rsid w:val="00D632DA"/>
    <w:rsid w:val="00D70710"/>
    <w:rsid w:val="00D71C3D"/>
    <w:rsid w:val="00D80CC5"/>
    <w:rsid w:val="00D83DAE"/>
    <w:rsid w:val="00D84685"/>
    <w:rsid w:val="00D959A2"/>
    <w:rsid w:val="00D9603A"/>
    <w:rsid w:val="00DB3D7D"/>
    <w:rsid w:val="00DB411E"/>
    <w:rsid w:val="00DB7DFF"/>
    <w:rsid w:val="00DC7678"/>
    <w:rsid w:val="00DD11BA"/>
    <w:rsid w:val="00DD439F"/>
    <w:rsid w:val="00DD5464"/>
    <w:rsid w:val="00DD6DF0"/>
    <w:rsid w:val="00DD7AD3"/>
    <w:rsid w:val="00DE278D"/>
    <w:rsid w:val="00DE2BCC"/>
    <w:rsid w:val="00DE5700"/>
    <w:rsid w:val="00DE7A09"/>
    <w:rsid w:val="00DF3631"/>
    <w:rsid w:val="00DF72C3"/>
    <w:rsid w:val="00E17E65"/>
    <w:rsid w:val="00E21AC4"/>
    <w:rsid w:val="00E262B3"/>
    <w:rsid w:val="00E26FCB"/>
    <w:rsid w:val="00E327F0"/>
    <w:rsid w:val="00E32C17"/>
    <w:rsid w:val="00E3643E"/>
    <w:rsid w:val="00E418EA"/>
    <w:rsid w:val="00E4385F"/>
    <w:rsid w:val="00E45F74"/>
    <w:rsid w:val="00E47C93"/>
    <w:rsid w:val="00E5294C"/>
    <w:rsid w:val="00E5309D"/>
    <w:rsid w:val="00E5557D"/>
    <w:rsid w:val="00E70DBA"/>
    <w:rsid w:val="00E71F0A"/>
    <w:rsid w:val="00E75E75"/>
    <w:rsid w:val="00E81798"/>
    <w:rsid w:val="00E902D8"/>
    <w:rsid w:val="00EA0500"/>
    <w:rsid w:val="00EA4C6D"/>
    <w:rsid w:val="00EA5EF7"/>
    <w:rsid w:val="00EB27B2"/>
    <w:rsid w:val="00EB5DA2"/>
    <w:rsid w:val="00EC074F"/>
    <w:rsid w:val="00ED3DCA"/>
    <w:rsid w:val="00ED4B16"/>
    <w:rsid w:val="00EE3DE6"/>
    <w:rsid w:val="00EF5A33"/>
    <w:rsid w:val="00EF66F4"/>
    <w:rsid w:val="00F117AE"/>
    <w:rsid w:val="00F24A8D"/>
    <w:rsid w:val="00F258A2"/>
    <w:rsid w:val="00F26700"/>
    <w:rsid w:val="00F3123E"/>
    <w:rsid w:val="00F3481B"/>
    <w:rsid w:val="00F3757B"/>
    <w:rsid w:val="00F405DE"/>
    <w:rsid w:val="00F40B79"/>
    <w:rsid w:val="00F4415C"/>
    <w:rsid w:val="00F449F7"/>
    <w:rsid w:val="00F63A65"/>
    <w:rsid w:val="00F749C8"/>
    <w:rsid w:val="00F7553C"/>
    <w:rsid w:val="00F7572B"/>
    <w:rsid w:val="00F77C57"/>
    <w:rsid w:val="00F83991"/>
    <w:rsid w:val="00F87DFC"/>
    <w:rsid w:val="00F95634"/>
    <w:rsid w:val="00F96546"/>
    <w:rsid w:val="00F9658F"/>
    <w:rsid w:val="00F97999"/>
    <w:rsid w:val="00FA102F"/>
    <w:rsid w:val="00FC0D8A"/>
    <w:rsid w:val="00FC6DCE"/>
    <w:rsid w:val="00FD076C"/>
    <w:rsid w:val="00FD65EF"/>
    <w:rsid w:val="00FE0DE5"/>
    <w:rsid w:val="00FE32E8"/>
    <w:rsid w:val="00FE405A"/>
    <w:rsid w:val="00FE7E24"/>
    <w:rsid w:val="00FF05C1"/>
    <w:rsid w:val="0D7946B3"/>
    <w:rsid w:val="124573DC"/>
    <w:rsid w:val="1C62D6C8"/>
    <w:rsid w:val="1EAD00E0"/>
    <w:rsid w:val="28E15CEB"/>
    <w:rsid w:val="2C00B121"/>
    <w:rsid w:val="2E124BD8"/>
    <w:rsid w:val="3933537F"/>
    <w:rsid w:val="3A1E0F45"/>
    <w:rsid w:val="62BA064C"/>
    <w:rsid w:val="64431ECA"/>
    <w:rsid w:val="6DDCFE8C"/>
    <w:rsid w:val="71376DC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25329"/>
  <w15:chartTrackingRefBased/>
  <w15:docId w15:val="{3E15A55A-8C39-4D92-8940-1BDD5563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2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077443"/>
    <w:pPr>
      <w:ind w:left="720"/>
      <w:contextualSpacing/>
    </w:pPr>
  </w:style>
  <w:style w:type="character" w:styleId="PlaceholderText">
    <w:name w:val="Placeholder Text"/>
    <w:basedOn w:val="DefaultParagraphFont"/>
    <w:uiPriority w:val="99"/>
    <w:semiHidden/>
    <w:rsid w:val="006A6619"/>
    <w:rPr>
      <w:color w:val="666666"/>
    </w:rPr>
  </w:style>
  <w:style w:type="character" w:styleId="Hyperlink">
    <w:name w:val="Hyperlink"/>
    <w:basedOn w:val="DefaultParagraphFont"/>
    <w:uiPriority w:val="99"/>
    <w:unhideWhenUsed/>
    <w:rsid w:val="0042281C"/>
    <w:rPr>
      <w:color w:val="0563C1" w:themeColor="hyperlink"/>
      <w:u w:val="single"/>
    </w:rPr>
  </w:style>
  <w:style w:type="character" w:styleId="UnresolvedMention">
    <w:name w:val="Unresolved Mention"/>
    <w:basedOn w:val="DefaultParagraphFont"/>
    <w:uiPriority w:val="99"/>
    <w:semiHidden/>
    <w:unhideWhenUsed/>
    <w:rsid w:val="0042281C"/>
    <w:rPr>
      <w:color w:val="605E5C"/>
      <w:shd w:val="clear" w:color="auto" w:fill="E1DFDD"/>
    </w:rPr>
  </w:style>
  <w:style w:type="paragraph" w:styleId="Footer">
    <w:name w:val="footer"/>
    <w:basedOn w:val="Normal"/>
    <w:link w:val="FooterChar"/>
    <w:uiPriority w:val="99"/>
    <w:unhideWhenUsed/>
    <w:rsid w:val="00FE40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05A"/>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qFormat/>
    <w:locked/>
    <w:rsid w:val="002F7E49"/>
  </w:style>
  <w:style w:type="paragraph" w:styleId="FootnoteText">
    <w:name w:val="footnote text"/>
    <w:basedOn w:val="Normal"/>
    <w:link w:val="FootnoteTextChar"/>
    <w:uiPriority w:val="99"/>
    <w:rsid w:val="006F336E"/>
    <w:pPr>
      <w:spacing w:after="200" w:line="240" w:lineRule="auto"/>
    </w:pPr>
    <w:rPr>
      <w:rFonts w:ascii="DM Sans" w:eastAsia="DM Sans" w:hAnsi="DM Sans" w:cs="DM Sans"/>
      <w:kern w:val="0"/>
      <w:sz w:val="20"/>
      <w:szCs w:val="20"/>
      <w:lang w:val="en-GB" w:eastAsia="en-GB"/>
      <w14:ligatures w14:val="none"/>
    </w:rPr>
  </w:style>
  <w:style w:type="character" w:customStyle="1" w:styleId="FootnoteTextChar">
    <w:name w:val="Footnote Text Char"/>
    <w:basedOn w:val="DefaultParagraphFont"/>
    <w:link w:val="FootnoteText"/>
    <w:uiPriority w:val="99"/>
    <w:rsid w:val="006F336E"/>
    <w:rPr>
      <w:rFonts w:ascii="DM Sans" w:eastAsia="DM Sans" w:hAnsi="DM Sans" w:cs="DM Sans"/>
      <w:kern w:val="0"/>
      <w:sz w:val="20"/>
      <w:szCs w:val="20"/>
      <w:lang w:val="en-GB" w:eastAsia="en-GB"/>
      <w14:ligatures w14:val="none"/>
    </w:rPr>
  </w:style>
  <w:style w:type="character" w:styleId="FootnoteReference">
    <w:name w:val="footnote reference"/>
    <w:basedOn w:val="DefaultParagraphFont"/>
    <w:uiPriority w:val="99"/>
    <w:rsid w:val="006F336E"/>
    <w:rPr>
      <w:vertAlign w:val="superscript"/>
    </w:rPr>
  </w:style>
  <w:style w:type="paragraph" w:styleId="Header">
    <w:name w:val="header"/>
    <w:basedOn w:val="Normal"/>
    <w:link w:val="HeaderChar"/>
    <w:uiPriority w:val="99"/>
    <w:unhideWhenUsed/>
    <w:rsid w:val="00556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CDB"/>
  </w:style>
  <w:style w:type="character" w:styleId="CommentReference">
    <w:name w:val="annotation reference"/>
    <w:basedOn w:val="DefaultParagraphFont"/>
    <w:uiPriority w:val="99"/>
    <w:semiHidden/>
    <w:unhideWhenUsed/>
    <w:rsid w:val="008C15D9"/>
    <w:rPr>
      <w:sz w:val="16"/>
      <w:szCs w:val="16"/>
    </w:rPr>
  </w:style>
  <w:style w:type="paragraph" w:styleId="CommentText">
    <w:name w:val="annotation text"/>
    <w:basedOn w:val="Normal"/>
    <w:link w:val="CommentTextChar"/>
    <w:uiPriority w:val="99"/>
    <w:unhideWhenUsed/>
    <w:rsid w:val="008C15D9"/>
    <w:pPr>
      <w:spacing w:line="240" w:lineRule="auto"/>
    </w:pPr>
    <w:rPr>
      <w:sz w:val="20"/>
      <w:szCs w:val="20"/>
    </w:rPr>
  </w:style>
  <w:style w:type="character" w:customStyle="1" w:styleId="CommentTextChar">
    <w:name w:val="Comment Text Char"/>
    <w:basedOn w:val="DefaultParagraphFont"/>
    <w:link w:val="CommentText"/>
    <w:uiPriority w:val="99"/>
    <w:rsid w:val="008C15D9"/>
    <w:rPr>
      <w:sz w:val="20"/>
      <w:szCs w:val="20"/>
    </w:rPr>
  </w:style>
  <w:style w:type="paragraph" w:styleId="CommentSubject">
    <w:name w:val="annotation subject"/>
    <w:basedOn w:val="CommentText"/>
    <w:next w:val="CommentText"/>
    <w:link w:val="CommentSubjectChar"/>
    <w:uiPriority w:val="99"/>
    <w:semiHidden/>
    <w:unhideWhenUsed/>
    <w:rsid w:val="008C15D9"/>
    <w:rPr>
      <w:b/>
      <w:bCs/>
    </w:rPr>
  </w:style>
  <w:style w:type="character" w:customStyle="1" w:styleId="CommentSubjectChar">
    <w:name w:val="Comment Subject Char"/>
    <w:basedOn w:val="CommentTextChar"/>
    <w:link w:val="CommentSubject"/>
    <w:uiPriority w:val="99"/>
    <w:semiHidden/>
    <w:rsid w:val="008C15D9"/>
    <w:rPr>
      <w:b/>
      <w:bCs/>
      <w:sz w:val="20"/>
      <w:szCs w:val="20"/>
    </w:rPr>
  </w:style>
  <w:style w:type="paragraph" w:styleId="Revision">
    <w:name w:val="Revision"/>
    <w:hidden/>
    <w:uiPriority w:val="99"/>
    <w:semiHidden/>
    <w:rsid w:val="003C56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280760">
      <w:bodyDiv w:val="1"/>
      <w:marLeft w:val="0"/>
      <w:marRight w:val="0"/>
      <w:marTop w:val="0"/>
      <w:marBottom w:val="0"/>
      <w:divBdr>
        <w:top w:val="none" w:sz="0" w:space="0" w:color="auto"/>
        <w:left w:val="none" w:sz="0" w:space="0" w:color="auto"/>
        <w:bottom w:val="none" w:sz="0" w:space="0" w:color="auto"/>
        <w:right w:val="none" w:sz="0" w:space="0" w:color="auto"/>
      </w:divBdr>
      <w:divsChild>
        <w:div w:id="629018729">
          <w:marLeft w:val="0"/>
          <w:marRight w:val="0"/>
          <w:marTop w:val="0"/>
          <w:marBottom w:val="150"/>
          <w:divBdr>
            <w:top w:val="none" w:sz="0" w:space="0" w:color="auto"/>
            <w:left w:val="none" w:sz="0" w:space="0" w:color="auto"/>
            <w:bottom w:val="none" w:sz="0" w:space="0" w:color="auto"/>
            <w:right w:val="none" w:sz="0" w:space="0" w:color="auto"/>
          </w:divBdr>
        </w:div>
        <w:div w:id="534805768">
          <w:marLeft w:val="0"/>
          <w:marRight w:val="0"/>
          <w:marTop w:val="0"/>
          <w:marBottom w:val="0"/>
          <w:divBdr>
            <w:top w:val="none" w:sz="0" w:space="0" w:color="auto"/>
            <w:left w:val="none" w:sz="0" w:space="0" w:color="auto"/>
            <w:bottom w:val="none" w:sz="0" w:space="0" w:color="auto"/>
            <w:right w:val="none" w:sz="0" w:space="0" w:color="auto"/>
          </w:divBdr>
        </w:div>
      </w:divsChild>
    </w:div>
    <w:div w:id="20001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gblocalisation.ifrc.org/wp-content/uploads/2018/06/categories_for_tracking_direct_as_possible_funding_to_local_and_national_actors_003.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80B55ADAE53E459EC1949688882D76"/>
        <w:category>
          <w:name w:val="General"/>
          <w:gallery w:val="placeholder"/>
        </w:category>
        <w:types>
          <w:type w:val="bbPlcHdr"/>
        </w:types>
        <w:behaviors>
          <w:behavior w:val="content"/>
        </w:behaviors>
        <w:guid w:val="{F6E8B5D6-BDC2-2641-AAC3-C780D4BDBC1A}"/>
      </w:docPartPr>
      <w:docPartBody>
        <w:p w:rsidR="00C82573" w:rsidRDefault="001B6A25" w:rsidP="001B6A25">
          <w:pPr>
            <w:pStyle w:val="6080B55ADAE53E459EC1949688882D76"/>
          </w:pPr>
          <w:r w:rsidRPr="00E4043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7E0"/>
    <w:rsid w:val="00075858"/>
    <w:rsid w:val="000A211C"/>
    <w:rsid w:val="001077E0"/>
    <w:rsid w:val="001B6A25"/>
    <w:rsid w:val="001E5A41"/>
    <w:rsid w:val="003A0606"/>
    <w:rsid w:val="004368F3"/>
    <w:rsid w:val="00511460"/>
    <w:rsid w:val="0054415C"/>
    <w:rsid w:val="006F787D"/>
    <w:rsid w:val="007752D5"/>
    <w:rsid w:val="00B8091C"/>
    <w:rsid w:val="00C82573"/>
    <w:rsid w:val="00F9654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6A25"/>
    <w:rPr>
      <w:color w:val="666666"/>
    </w:rPr>
  </w:style>
  <w:style w:type="paragraph" w:customStyle="1" w:styleId="6080B55ADAE53E459EC1949688882D76">
    <w:name w:val="6080B55ADAE53E459EC1949688882D76"/>
    <w:rsid w:val="001B6A25"/>
    <w:pPr>
      <w:spacing w:line="278"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13b20a-c775-410d-b56a-217faa6da221" xsi:nil="true"/>
    <lcf76f155ced4ddcb4097134ff3c332f xmlns="3be908e7-6b77-4171-9ed8-a8f8631abc1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F11156181B5D47B31A24BEA6FAF6F0" ma:contentTypeVersion="17" ma:contentTypeDescription="Create a new document." ma:contentTypeScope="" ma:versionID="df7fb418dd06e9ca2156756ea94e8d6e">
  <xsd:schema xmlns:xsd="http://www.w3.org/2001/XMLSchema" xmlns:xs="http://www.w3.org/2001/XMLSchema" xmlns:p="http://schemas.microsoft.com/office/2006/metadata/properties" xmlns:ns2="3be908e7-6b77-4171-9ed8-a8f8631abc1b" xmlns:ns3="d613b20a-c775-410d-b56a-217faa6da221" targetNamespace="http://schemas.microsoft.com/office/2006/metadata/properties" ma:root="true" ma:fieldsID="7812ea0142f9a9d651190d192f93a48e" ns2:_="" ns3:_="">
    <xsd:import namespace="3be908e7-6b77-4171-9ed8-a8f8631abc1b"/>
    <xsd:import namespace="d613b20a-c775-410d-b56a-217faa6da2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908e7-6b77-4171-9ed8-a8f8631ab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7fa7f0-a0f4-41ea-a484-b421e20e4f5e"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13b20a-c775-410d-b56a-217faa6da2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9029bf-b5b9-4eec-825c-a654ec5bc90f}" ma:internalName="TaxCatchAll" ma:showField="CatchAllData" ma:web="d613b20a-c775-410d-b56a-217faa6da2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E37F9-9969-4150-96B6-1335E7EF3BBE}">
  <ds:schemaRefs>
    <ds:schemaRef ds:uri="http://schemas.microsoft.com/office/2006/metadata/properties"/>
    <ds:schemaRef ds:uri="http://schemas.microsoft.com/office/infopath/2007/PartnerControls"/>
    <ds:schemaRef ds:uri="d613b20a-c775-410d-b56a-217faa6da221"/>
    <ds:schemaRef ds:uri="3be908e7-6b77-4171-9ed8-a8f8631abc1b"/>
  </ds:schemaRefs>
</ds:datastoreItem>
</file>

<file path=customXml/itemProps2.xml><?xml version="1.0" encoding="utf-8"?>
<ds:datastoreItem xmlns:ds="http://schemas.openxmlformats.org/officeDocument/2006/customXml" ds:itemID="{8899541C-80C8-49DD-860C-8F80563B2725}">
  <ds:schemaRefs>
    <ds:schemaRef ds:uri="http://schemas.microsoft.com/sharepoint/v3/contenttype/forms"/>
  </ds:schemaRefs>
</ds:datastoreItem>
</file>

<file path=customXml/itemProps3.xml><?xml version="1.0" encoding="utf-8"?>
<ds:datastoreItem xmlns:ds="http://schemas.openxmlformats.org/officeDocument/2006/customXml" ds:itemID="{06DC12D5-3E84-4251-85A3-7C481B989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908e7-6b77-4171-9ed8-a8f8631abc1b"/>
    <ds:schemaRef ds:uri="d613b20a-c775-410d-b56a-217faa6da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E85FDC-CC35-4655-BF34-4391621AE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DFAT</dc:creator>
  <cp:keywords>[SEC=OFFICIAL]</cp:keywords>
  <dc:description/>
  <cp:lastModifiedBy>Katie GREENWOOD</cp:lastModifiedBy>
  <cp:revision>2</cp:revision>
  <dcterms:created xsi:type="dcterms:W3CDTF">2024-10-29T14:27:00Z</dcterms:created>
  <dcterms:modified xsi:type="dcterms:W3CDTF">2024-10-29T14:27:00Z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v=2022.1;a=SHA256;h=3960B5FEA2D54D8B1912B73F969CD63738F344161DE56095B89A22ED4FA1E095</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2024-05-15T00:40:35Z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BF1B087C36191C6DCA3C0320E350CA0E94030966</vt:lpwstr>
  </property>
  <property fmtid="{D5CDD505-2E9C-101B-9397-08002B2CF9AE}" pid="14" name="PM_DisplayValueSecClassificationWithQualifier">
    <vt:lpwstr>OFFICIAL</vt:lpwstr>
  </property>
  <property fmtid="{D5CDD505-2E9C-101B-9397-08002B2CF9AE}" pid="15" name="PM_Originating_FileId">
    <vt:lpwstr>133C737F429B4054BD53965A27092650</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D5D289029EA9EB3CA58134CAD14CDE260877EC2F312031DE8A78E204D72818D1</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EFF5A17426EAD746FB97FB5CABF0D000</vt:lpwstr>
  </property>
  <property fmtid="{D5CDD505-2E9C-101B-9397-08002B2CF9AE}" pid="25" name="PM_Hash_Salt">
    <vt:lpwstr>5B9F8044879AD8CD3ECCD4AD00717C79</vt:lpwstr>
  </property>
  <property fmtid="{D5CDD505-2E9C-101B-9397-08002B2CF9AE}" pid="26" name="PM_Hash_SHA1">
    <vt:lpwstr>A2CE0AE0624D483E8E7D38833CF8DC2E448B3CF4</vt:lpwstr>
  </property>
  <property fmtid="{D5CDD505-2E9C-101B-9397-08002B2CF9AE}" pid="27" name="MediaServiceImageTags">
    <vt:lpwstr/>
  </property>
  <property fmtid="{D5CDD505-2E9C-101B-9397-08002B2CF9AE}" pid="28" name="PM_SecurityClassification_Prev">
    <vt:lpwstr>OFFICIAL</vt:lpwstr>
  </property>
  <property fmtid="{D5CDD505-2E9C-101B-9397-08002B2CF9AE}" pid="29" name="PM_Qualifier_Prev">
    <vt:lpwstr/>
  </property>
  <property fmtid="{D5CDD505-2E9C-101B-9397-08002B2CF9AE}" pid="30" name="ClassificationContentMarkingFooterShapeIds">
    <vt:lpwstr>210f4627,1ce549b4,2f06918b</vt:lpwstr>
  </property>
  <property fmtid="{D5CDD505-2E9C-101B-9397-08002B2CF9AE}" pid="31" name="ClassificationContentMarkingFooterFontProps">
    <vt:lpwstr>#000000,10,Calibri</vt:lpwstr>
  </property>
  <property fmtid="{D5CDD505-2E9C-101B-9397-08002B2CF9AE}" pid="32" name="ClassificationContentMarkingFooterText">
    <vt:lpwstr>Internal</vt:lpwstr>
  </property>
  <property fmtid="{D5CDD505-2E9C-101B-9397-08002B2CF9AE}" pid="33" name="MSIP_Label_6627b15a-80ec-4ef7-8353-f32e3c89bf3e_Enabled">
    <vt:lpwstr>true</vt:lpwstr>
  </property>
  <property fmtid="{D5CDD505-2E9C-101B-9397-08002B2CF9AE}" pid="34" name="MSIP_Label_6627b15a-80ec-4ef7-8353-f32e3c89bf3e_SetDate">
    <vt:lpwstr>2024-10-01T21:09:27Z</vt:lpwstr>
  </property>
  <property fmtid="{D5CDD505-2E9C-101B-9397-08002B2CF9AE}" pid="35" name="MSIP_Label_6627b15a-80ec-4ef7-8353-f32e3c89bf3e_Method">
    <vt:lpwstr>Privileged</vt:lpwstr>
  </property>
  <property fmtid="{D5CDD505-2E9C-101B-9397-08002B2CF9AE}" pid="36" name="MSIP_Label_6627b15a-80ec-4ef7-8353-f32e3c89bf3e_Name">
    <vt:lpwstr>IFRC Internal</vt:lpwstr>
  </property>
  <property fmtid="{D5CDD505-2E9C-101B-9397-08002B2CF9AE}" pid="37" name="MSIP_Label_6627b15a-80ec-4ef7-8353-f32e3c89bf3e_SiteId">
    <vt:lpwstr>a2b53be5-734e-4e6c-ab0d-d184f60fd917</vt:lpwstr>
  </property>
  <property fmtid="{D5CDD505-2E9C-101B-9397-08002B2CF9AE}" pid="38" name="MSIP_Label_6627b15a-80ec-4ef7-8353-f32e3c89bf3e_ActionId">
    <vt:lpwstr>cb1922b4-702f-424f-af97-8806beba19f5</vt:lpwstr>
  </property>
  <property fmtid="{D5CDD505-2E9C-101B-9397-08002B2CF9AE}" pid="39" name="MSIP_Label_6627b15a-80ec-4ef7-8353-f32e3c89bf3e_ContentBits">
    <vt:lpwstr>2</vt:lpwstr>
  </property>
  <property fmtid="{D5CDD505-2E9C-101B-9397-08002B2CF9AE}" pid="40" name="ContentTypeId">
    <vt:lpwstr>0x01010075F11156181B5D47B31A24BEA6FAF6F0</vt:lpwstr>
  </property>
</Properties>
</file>