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F203" w14:textId="2C15094F" w:rsidR="00A20156" w:rsidRPr="00E52B92" w:rsidRDefault="00E12DCE" w:rsidP="00E12DCE">
      <w:pPr>
        <w:tabs>
          <w:tab w:val="left" w:pos="3090"/>
        </w:tabs>
        <w:rPr>
          <w:rFonts w:ascii="Arial" w:hAnsi="Arial" w:cs="Arial"/>
        </w:rPr>
      </w:pPr>
      <w:r>
        <w:rPr>
          <w:rFonts w:ascii="Arial" w:hAnsi="Arial" w:cs="Arial"/>
        </w:rPr>
        <w:tab/>
      </w:r>
    </w:p>
    <w:p w14:paraId="773DD846" w14:textId="77777777" w:rsidR="006D11EB" w:rsidRPr="00E52B92" w:rsidRDefault="006D11EB" w:rsidP="006D11EB">
      <w:pPr>
        <w:rPr>
          <w:rFonts w:ascii="Arial" w:hAnsi="Arial" w:cs="Arial"/>
        </w:rPr>
      </w:pPr>
    </w:p>
    <w:p w14:paraId="5D48305C" w14:textId="77777777" w:rsidR="006D11EB" w:rsidRPr="00E52B92" w:rsidRDefault="006D11EB" w:rsidP="006D11EB">
      <w:pPr>
        <w:jc w:val="center"/>
        <w:rPr>
          <w:rFonts w:ascii="Arial" w:hAnsi="Arial" w:cs="Arial"/>
        </w:rPr>
      </w:pPr>
    </w:p>
    <w:p w14:paraId="4183DDF8" w14:textId="58A1AF0B" w:rsidR="006D11EB" w:rsidRPr="00AB2BCE" w:rsidRDefault="00AB2BCE" w:rsidP="006D11EB">
      <w:pPr>
        <w:tabs>
          <w:tab w:val="left" w:pos="1340"/>
        </w:tabs>
        <w:jc w:val="center"/>
        <w:rPr>
          <w:rFonts w:ascii="Arial" w:hAnsi="Arial" w:cs="Arial"/>
          <w:b/>
          <w:bCs/>
          <w:sz w:val="28"/>
          <w:szCs w:val="28"/>
          <w:lang w:val="fr-CH"/>
        </w:rPr>
      </w:pPr>
      <w:r w:rsidRPr="00AB2BCE">
        <w:rPr>
          <w:rFonts w:ascii="Arial" w:hAnsi="Arial" w:cs="Arial"/>
          <w:b/>
          <w:bCs/>
          <w:sz w:val="28"/>
          <w:szCs w:val="28"/>
          <w:lang w:val="fr-CH"/>
        </w:rPr>
        <w:t>Modèle de texte pour les e</w:t>
      </w:r>
      <w:r>
        <w:rPr>
          <w:rFonts w:ascii="Arial" w:hAnsi="Arial" w:cs="Arial"/>
          <w:b/>
          <w:bCs/>
          <w:sz w:val="28"/>
          <w:szCs w:val="28"/>
          <w:lang w:val="fr-CH"/>
        </w:rPr>
        <w:t>ngagements visant à :</w:t>
      </w:r>
    </w:p>
    <w:p w14:paraId="4C5C7A53" w14:textId="00A3DB64" w:rsidR="00AB2BCE" w:rsidRPr="00AB2BCE" w:rsidRDefault="00AB2BCE" w:rsidP="006D11EB">
      <w:pPr>
        <w:tabs>
          <w:tab w:val="left" w:pos="1340"/>
        </w:tabs>
        <w:jc w:val="center"/>
        <w:rPr>
          <w:rFonts w:ascii="Arial" w:hAnsi="Arial" w:cs="Arial"/>
          <w:b/>
          <w:bCs/>
          <w:sz w:val="28"/>
          <w:szCs w:val="28"/>
          <w:lang w:val="fr-CH"/>
        </w:rPr>
      </w:pPr>
      <w:r w:rsidRPr="00AB2BCE">
        <w:rPr>
          <w:rFonts w:ascii="Arial" w:hAnsi="Arial" w:cs="Arial"/>
          <w:b/>
          <w:bCs/>
          <w:sz w:val="28"/>
          <w:szCs w:val="28"/>
          <w:lang w:val="fr-CH"/>
        </w:rPr>
        <w:t>Renforcer la gouvernance des r</w:t>
      </w:r>
      <w:r>
        <w:rPr>
          <w:rFonts w:ascii="Arial" w:hAnsi="Arial" w:cs="Arial"/>
          <w:b/>
          <w:bCs/>
          <w:sz w:val="28"/>
          <w:szCs w:val="28"/>
          <w:lang w:val="fr-CH"/>
        </w:rPr>
        <w:t>isques de catastrophe au moyen de lois, de politiques et de plans globaux relatifs aux catastrophes</w:t>
      </w:r>
    </w:p>
    <w:p w14:paraId="54FC9289" w14:textId="77777777" w:rsidR="006D11EB" w:rsidRPr="007750F2" w:rsidRDefault="006D11EB" w:rsidP="006D11EB">
      <w:pPr>
        <w:rPr>
          <w:rFonts w:ascii="Arial" w:hAnsi="Arial" w:cs="Arial"/>
          <w:b/>
          <w:bCs/>
          <w:lang w:val="fr-CH"/>
        </w:rPr>
      </w:pPr>
    </w:p>
    <w:p w14:paraId="6D0627F7" w14:textId="287DE0D4" w:rsidR="00AB2BCE" w:rsidRPr="00AB2BCE" w:rsidRDefault="00AB2BCE" w:rsidP="00D90469">
      <w:pPr>
        <w:rPr>
          <w:rFonts w:ascii="Arial" w:hAnsi="Arial" w:cs="Arial"/>
          <w:b/>
          <w:bCs/>
          <w:lang w:val="fr-CH"/>
        </w:rPr>
      </w:pPr>
      <w:r w:rsidRPr="00AB2BCE">
        <w:rPr>
          <w:rFonts w:ascii="Arial" w:hAnsi="Arial" w:cs="Arial"/>
          <w:b/>
          <w:bCs/>
          <w:lang w:val="fr-CH"/>
        </w:rPr>
        <w:t>Context</w:t>
      </w:r>
      <w:r>
        <w:rPr>
          <w:rFonts w:ascii="Arial" w:hAnsi="Arial" w:cs="Arial"/>
          <w:b/>
          <w:bCs/>
          <w:lang w:val="fr-CH"/>
        </w:rPr>
        <w:t>e</w:t>
      </w:r>
      <w:r w:rsidRPr="00AB2BCE">
        <w:rPr>
          <w:rFonts w:ascii="Arial" w:hAnsi="Arial" w:cs="Arial"/>
          <w:b/>
          <w:bCs/>
          <w:lang w:val="fr-CH"/>
        </w:rPr>
        <w:t xml:space="preserve"> et objectif du p</w:t>
      </w:r>
      <w:r>
        <w:rPr>
          <w:rFonts w:ascii="Arial" w:hAnsi="Arial" w:cs="Arial"/>
          <w:b/>
          <w:bCs/>
          <w:lang w:val="fr-CH"/>
        </w:rPr>
        <w:t>résent document</w:t>
      </w:r>
    </w:p>
    <w:p w14:paraId="6DA8274E" w14:textId="30F23E8D" w:rsidR="00AB2BCE" w:rsidRPr="007750F2" w:rsidRDefault="00AB2BCE" w:rsidP="72E8E511">
      <w:pPr>
        <w:shd w:val="clear" w:color="auto" w:fill="FFFFFF" w:themeFill="background1"/>
        <w:spacing w:before="120" w:after="0" w:line="240" w:lineRule="auto"/>
        <w:jc w:val="both"/>
        <w:rPr>
          <w:rFonts w:ascii="Arial" w:hAnsi="Arial" w:cs="Arial"/>
          <w:lang w:val="fr-CH"/>
        </w:rPr>
      </w:pPr>
      <w:r w:rsidRPr="007750F2">
        <w:rPr>
          <w:rFonts w:ascii="Arial" w:hAnsi="Arial" w:cs="Arial"/>
          <w:lang w:val="fr-CH"/>
        </w:rPr>
        <w:t xml:space="preserve">La </w:t>
      </w:r>
      <w:r w:rsidR="007750F2" w:rsidRPr="007750F2">
        <w:rPr>
          <w:rFonts w:ascii="Arial" w:hAnsi="Arial" w:cs="Arial"/>
          <w:lang w:val="fr-CH"/>
        </w:rPr>
        <w:t>fréquence, l’intensité</w:t>
      </w:r>
      <w:r w:rsidR="007750F2">
        <w:rPr>
          <w:rFonts w:ascii="Arial" w:hAnsi="Arial" w:cs="Arial"/>
          <w:lang w:val="fr-CH"/>
        </w:rPr>
        <w:t>,</w:t>
      </w:r>
      <w:r w:rsidR="007750F2" w:rsidRPr="007750F2">
        <w:rPr>
          <w:rFonts w:ascii="Arial" w:hAnsi="Arial" w:cs="Arial"/>
          <w:lang w:val="fr-CH"/>
        </w:rPr>
        <w:t xml:space="preserve"> l</w:t>
      </w:r>
      <w:r w:rsidR="007750F2">
        <w:rPr>
          <w:rFonts w:ascii="Arial" w:hAnsi="Arial" w:cs="Arial"/>
          <w:lang w:val="fr-CH"/>
        </w:rPr>
        <w:t>e nombre et l’ampleur des catastrophes, aggravées par les changements climatiques et par d’autres facteurs, sont à la hausse dans le monde entier. Les personnes en situation de vulnérabilité et les personnes qui risquent le plus d’être touchées de façon disproportionnée par les catastrophes, comme les personnes qui vivent dans des zones à haut risque, les femmes et les filles, les peuples autochtones, les minorités raciales et ethniques, les personnes âgées et les personnes en situation de handicap,</w:t>
      </w:r>
      <w:r w:rsidR="006420C3">
        <w:rPr>
          <w:rFonts w:ascii="Arial" w:hAnsi="Arial" w:cs="Arial"/>
          <w:lang w:val="fr-CH"/>
        </w:rPr>
        <w:t xml:space="preserve"> souffrent souvent de manière disproportionnée en cas de catastrophe ou de situation d’urgence.</w:t>
      </w:r>
    </w:p>
    <w:p w14:paraId="43BFF80E" w14:textId="2AC6B4AC" w:rsidR="003F2997" w:rsidRPr="006420C3" w:rsidRDefault="006420C3" w:rsidP="72E8E511">
      <w:pPr>
        <w:shd w:val="clear" w:color="auto" w:fill="FFFFFF" w:themeFill="background1"/>
        <w:spacing w:before="120" w:after="0" w:line="240" w:lineRule="auto"/>
        <w:jc w:val="both"/>
        <w:rPr>
          <w:rFonts w:ascii="Arial" w:hAnsi="Arial" w:cs="Arial"/>
          <w:lang w:val="fr-CH"/>
        </w:rPr>
      </w:pPr>
      <w:r w:rsidRPr="006420C3">
        <w:rPr>
          <w:rFonts w:ascii="Arial" w:hAnsi="Arial" w:cs="Arial"/>
          <w:lang w:val="fr-CH"/>
        </w:rPr>
        <w:t>Depuis plus de vingt a</w:t>
      </w:r>
      <w:r>
        <w:rPr>
          <w:rFonts w:ascii="Arial" w:hAnsi="Arial" w:cs="Arial"/>
          <w:lang w:val="fr-CH"/>
        </w:rPr>
        <w:t xml:space="preserve">ns, </w:t>
      </w:r>
      <w:r w:rsidR="00375735">
        <w:rPr>
          <w:rFonts w:ascii="Arial" w:hAnsi="Arial" w:cs="Arial"/>
          <w:lang w:val="fr-CH"/>
        </w:rPr>
        <w:t>le Mouvement international de la Croix-Rouge et du Croissant-Rouge reconnaît la gouvernance des risques de catastrophe, c’est-à-dire l’ensemble des lois, des politiques, des plans et des dispositi</w:t>
      </w:r>
      <w:r w:rsidR="00A44A1A">
        <w:rPr>
          <w:rFonts w:ascii="Arial" w:hAnsi="Arial" w:cs="Arial"/>
          <w:lang w:val="fr-CH"/>
        </w:rPr>
        <w:t>f</w:t>
      </w:r>
      <w:r w:rsidR="00375735">
        <w:rPr>
          <w:rFonts w:ascii="Arial" w:hAnsi="Arial" w:cs="Arial"/>
          <w:lang w:val="fr-CH"/>
        </w:rPr>
        <w:t xml:space="preserve">s institutionnels </w:t>
      </w:r>
      <w:r w:rsidR="00A44A1A">
        <w:rPr>
          <w:rFonts w:ascii="Arial" w:hAnsi="Arial" w:cs="Arial"/>
          <w:lang w:val="fr-CH"/>
        </w:rPr>
        <w:t>relatifs à la gestion des risques de catastrophe, comme le fondement du système solide de gestion des risques de catastrophe nécessaire pour gérer les risques de catastrophe dans notre monde de plus en plus dangereux. Le renforcement de la gouvernance des risques de catastrophe et la mise en place de lois, de politiques et de plans bien conçus, bien compris et bien appliqués en matière de catastrophes et de situations d’urgence sont donc essentiels pour protéger les personnes des conséquences des catastrophes.</w:t>
      </w:r>
    </w:p>
    <w:p w14:paraId="44AEBF69" w14:textId="05642F67" w:rsidR="00E52B92" w:rsidRPr="00A44A1A" w:rsidRDefault="00A44A1A" w:rsidP="4E7A283E">
      <w:pPr>
        <w:shd w:val="clear" w:color="auto" w:fill="FFFFFF" w:themeFill="background1"/>
        <w:spacing w:before="120" w:after="0" w:line="240" w:lineRule="auto"/>
        <w:jc w:val="both"/>
        <w:rPr>
          <w:rFonts w:ascii="Arial" w:hAnsi="Arial" w:cs="Arial"/>
          <w:lang w:val="fr-CH"/>
        </w:rPr>
      </w:pPr>
      <w:r w:rsidRPr="00A44A1A">
        <w:rPr>
          <w:rFonts w:ascii="Arial" w:hAnsi="Arial" w:cs="Arial"/>
          <w:lang w:val="fr-CH"/>
        </w:rPr>
        <w:t>Le présent document présente u</w:t>
      </w:r>
      <w:r>
        <w:rPr>
          <w:rFonts w:ascii="Arial" w:hAnsi="Arial" w:cs="Arial"/>
          <w:lang w:val="fr-CH"/>
        </w:rPr>
        <w:t>ne liste d</w:t>
      </w:r>
      <w:r w:rsidR="00571EA5">
        <w:rPr>
          <w:rFonts w:ascii="Arial" w:hAnsi="Arial" w:cs="Arial"/>
          <w:lang w:val="fr-CH"/>
        </w:rPr>
        <w:t xml:space="preserve">e </w:t>
      </w:r>
      <w:r w:rsidR="00C82AC9">
        <w:rPr>
          <w:rFonts w:ascii="Arial" w:hAnsi="Arial" w:cs="Arial"/>
          <w:b/>
          <w:bCs/>
          <w:lang w:val="fr-CH"/>
        </w:rPr>
        <w:t>mesures potentielles</w:t>
      </w:r>
      <w:r w:rsidRPr="00571EA5">
        <w:rPr>
          <w:rFonts w:ascii="Arial" w:hAnsi="Arial" w:cs="Arial"/>
          <w:b/>
          <w:bCs/>
          <w:lang w:val="fr-CH"/>
        </w:rPr>
        <w:t xml:space="preserve"> concr</w:t>
      </w:r>
      <w:r w:rsidR="00571EA5" w:rsidRPr="00571EA5">
        <w:rPr>
          <w:rFonts w:ascii="Arial" w:hAnsi="Arial" w:cs="Arial"/>
          <w:b/>
          <w:bCs/>
          <w:lang w:val="fr-CH"/>
        </w:rPr>
        <w:t>ètes,</w:t>
      </w:r>
      <w:r w:rsidRPr="00571EA5">
        <w:rPr>
          <w:rFonts w:ascii="Arial" w:hAnsi="Arial" w:cs="Arial"/>
          <w:b/>
          <w:bCs/>
          <w:lang w:val="fr-CH"/>
        </w:rPr>
        <w:t xml:space="preserve"> mesurables</w:t>
      </w:r>
      <w:r>
        <w:rPr>
          <w:rFonts w:ascii="Arial" w:hAnsi="Arial" w:cs="Arial"/>
          <w:lang w:val="fr-CH"/>
        </w:rPr>
        <w:t xml:space="preserve"> </w:t>
      </w:r>
      <w:r w:rsidRPr="00571EA5">
        <w:rPr>
          <w:rFonts w:ascii="Arial" w:hAnsi="Arial" w:cs="Arial"/>
          <w:b/>
          <w:bCs/>
          <w:lang w:val="fr-CH"/>
        </w:rPr>
        <w:t xml:space="preserve">et </w:t>
      </w:r>
      <w:r w:rsidR="00571EA5" w:rsidRPr="00571EA5">
        <w:rPr>
          <w:rFonts w:ascii="Arial" w:hAnsi="Arial" w:cs="Arial"/>
          <w:b/>
          <w:bCs/>
          <w:lang w:val="fr-CH"/>
        </w:rPr>
        <w:t>orientées vers l’action</w:t>
      </w:r>
      <w:r w:rsidR="00571EA5">
        <w:rPr>
          <w:rFonts w:ascii="Arial" w:hAnsi="Arial" w:cs="Arial"/>
          <w:lang w:val="fr-CH"/>
        </w:rPr>
        <w:t xml:space="preserve"> qui peuvent être utilisées dans les engagements visant à renforcer la gouvernance des risques de catastrophe </w:t>
      </w:r>
      <w:r w:rsidR="00815D7A">
        <w:rPr>
          <w:rFonts w:ascii="Arial" w:hAnsi="Arial" w:cs="Arial"/>
          <w:lang w:val="fr-CH"/>
        </w:rPr>
        <w:t>au moyen</w:t>
      </w:r>
      <w:r w:rsidR="00571EA5">
        <w:rPr>
          <w:rFonts w:ascii="Arial" w:hAnsi="Arial" w:cs="Arial"/>
          <w:lang w:val="fr-CH"/>
        </w:rPr>
        <w:t xml:space="preserve"> de lois, de politiques et de plans globaux </w:t>
      </w:r>
      <w:r w:rsidR="005570E7">
        <w:rPr>
          <w:rFonts w:ascii="Arial" w:hAnsi="Arial" w:cs="Arial"/>
          <w:lang w:val="fr-CH"/>
        </w:rPr>
        <w:t>relatifs</w:t>
      </w:r>
      <w:r w:rsidR="00571EA5">
        <w:rPr>
          <w:rFonts w:ascii="Arial" w:hAnsi="Arial" w:cs="Arial"/>
          <w:lang w:val="fr-CH"/>
        </w:rPr>
        <w:t xml:space="preserve"> aux catastrophes.</w:t>
      </w:r>
    </w:p>
    <w:p w14:paraId="21BF05D0" w14:textId="48C76C08" w:rsidR="006D11EB" w:rsidRPr="006B59B7" w:rsidRDefault="006B59B7" w:rsidP="006D11EB">
      <w:pPr>
        <w:shd w:val="clear" w:color="auto" w:fill="FFFFFF"/>
        <w:spacing w:before="120" w:after="0" w:line="240" w:lineRule="auto"/>
        <w:jc w:val="both"/>
        <w:rPr>
          <w:rFonts w:ascii="Arial" w:hAnsi="Arial" w:cs="Arial"/>
          <w:b/>
          <w:lang w:val="fr-CH"/>
        </w:rPr>
      </w:pPr>
      <w:r w:rsidRPr="006B59B7">
        <w:rPr>
          <w:rFonts w:ascii="Arial" w:hAnsi="Arial" w:cs="Arial"/>
          <w:b/>
          <w:lang w:val="fr-CH"/>
        </w:rPr>
        <w:t>Comment utiliser le présent d</w:t>
      </w:r>
      <w:r>
        <w:rPr>
          <w:rFonts w:ascii="Arial" w:hAnsi="Arial" w:cs="Arial"/>
          <w:b/>
          <w:lang w:val="fr-CH"/>
        </w:rPr>
        <w:t>ocument</w:t>
      </w:r>
    </w:p>
    <w:p w14:paraId="47D1D8A4" w14:textId="45E6031A" w:rsidR="005276FF" w:rsidRPr="005276FF" w:rsidRDefault="005276FF" w:rsidP="006D11EB">
      <w:pPr>
        <w:shd w:val="clear" w:color="auto" w:fill="FFFFFF"/>
        <w:spacing w:before="120" w:after="0" w:line="240" w:lineRule="auto"/>
        <w:jc w:val="both"/>
        <w:rPr>
          <w:rFonts w:ascii="Arial" w:hAnsi="Arial" w:cs="Arial"/>
          <w:lang w:val="fr-CH"/>
        </w:rPr>
      </w:pPr>
      <w:r w:rsidRPr="005276FF">
        <w:rPr>
          <w:rFonts w:ascii="Arial" w:hAnsi="Arial" w:cs="Arial"/>
          <w:lang w:val="fr-CH"/>
        </w:rPr>
        <w:t>Tous les éléments propos</w:t>
      </w:r>
      <w:r>
        <w:rPr>
          <w:rFonts w:ascii="Arial" w:hAnsi="Arial" w:cs="Arial"/>
          <w:lang w:val="fr-CH"/>
        </w:rPr>
        <w:t xml:space="preserve">és dans le présent document ne doivent pas forcément être inclus dans chaque engagement. </w:t>
      </w:r>
      <w:r w:rsidRPr="005276FF">
        <w:rPr>
          <w:rFonts w:ascii="Arial" w:hAnsi="Arial" w:cs="Arial"/>
          <w:lang w:val="fr-CH"/>
        </w:rPr>
        <w:t>Il appartient à chaque Société nationale et à chaque g</w:t>
      </w:r>
      <w:r>
        <w:rPr>
          <w:rFonts w:ascii="Arial" w:hAnsi="Arial" w:cs="Arial"/>
          <w:lang w:val="fr-CH"/>
        </w:rPr>
        <w:t>ouvernement prenant un engagement de déterminer ce qui est le plus utile dans leur contexte.</w:t>
      </w:r>
    </w:p>
    <w:p w14:paraId="384EB3C9" w14:textId="41A0C7A4" w:rsidR="006D11EB" w:rsidRPr="00C82AC9" w:rsidRDefault="005276FF" w:rsidP="006D11EB">
      <w:pPr>
        <w:shd w:val="clear" w:color="auto" w:fill="FFFFFF"/>
        <w:spacing w:before="120" w:after="0" w:line="240" w:lineRule="auto"/>
        <w:jc w:val="both"/>
        <w:rPr>
          <w:rFonts w:ascii="Arial" w:hAnsi="Arial" w:cs="Arial"/>
          <w:lang w:val="fr-CH"/>
        </w:rPr>
      </w:pPr>
      <w:r w:rsidRPr="005276FF">
        <w:rPr>
          <w:rFonts w:ascii="Arial" w:hAnsi="Arial" w:cs="Arial"/>
          <w:lang w:val="fr-CH"/>
        </w:rPr>
        <w:t>Il est recommandé que les S</w:t>
      </w:r>
      <w:r>
        <w:rPr>
          <w:rFonts w:ascii="Arial" w:hAnsi="Arial" w:cs="Arial"/>
          <w:lang w:val="fr-CH"/>
        </w:rPr>
        <w:t xml:space="preserve">ociétés nationales et les gouvernements prennent des engagements conjoints plutôt qu’individuels sur ces questions afin de renforcer leur </w:t>
      </w:r>
      <w:r w:rsidR="007E1543">
        <w:rPr>
          <w:rFonts w:ascii="Arial" w:hAnsi="Arial" w:cs="Arial"/>
          <w:lang w:val="fr-CH"/>
        </w:rPr>
        <w:t>détermination</w:t>
      </w:r>
      <w:r>
        <w:rPr>
          <w:rFonts w:ascii="Arial" w:hAnsi="Arial" w:cs="Arial"/>
          <w:lang w:val="fr-CH"/>
        </w:rPr>
        <w:t xml:space="preserve"> à travailler ensemble. </w:t>
      </w:r>
      <w:r w:rsidR="00C82AC9" w:rsidRPr="00C82AC9">
        <w:rPr>
          <w:rFonts w:ascii="Arial" w:hAnsi="Arial" w:cs="Arial"/>
          <w:lang w:val="fr-CH"/>
        </w:rPr>
        <w:t xml:space="preserve">Ces engagements peuvent être pris de manière bilatérale ou </w:t>
      </w:r>
      <w:r w:rsidR="00C82AC9">
        <w:rPr>
          <w:rFonts w:ascii="Arial" w:hAnsi="Arial" w:cs="Arial"/>
          <w:lang w:val="fr-CH"/>
        </w:rPr>
        <w:t>par un groupe (tel qu’un groupe régional).</w:t>
      </w:r>
    </w:p>
    <w:p w14:paraId="388B0B72" w14:textId="20C10292" w:rsidR="000D057C" w:rsidRPr="001031AB" w:rsidRDefault="00C82AC9" w:rsidP="001031AB">
      <w:pPr>
        <w:shd w:val="clear" w:color="auto" w:fill="FFFFFF"/>
        <w:spacing w:before="120" w:after="0" w:line="240" w:lineRule="auto"/>
        <w:jc w:val="both"/>
        <w:rPr>
          <w:rFonts w:ascii="Arial" w:hAnsi="Arial" w:cs="Arial"/>
          <w:lang w:val="fr-CH"/>
        </w:rPr>
        <w:sectPr w:rsidR="000D057C" w:rsidRPr="001031AB" w:rsidSect="000D057C">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C82AC9">
        <w:rPr>
          <w:rFonts w:ascii="Arial" w:hAnsi="Arial" w:cs="Arial"/>
          <w:lang w:val="fr-CH"/>
        </w:rPr>
        <w:t>Veuillez suivre les instructions d</w:t>
      </w:r>
      <w:r>
        <w:rPr>
          <w:rFonts w:ascii="Arial" w:hAnsi="Arial" w:cs="Arial"/>
          <w:lang w:val="fr-CH"/>
        </w:rPr>
        <w:t>u Comité conjoint d’organisation en ce qui concerne l</w:t>
      </w:r>
      <w:r w:rsidR="001031AB">
        <w:rPr>
          <w:rFonts w:ascii="Arial" w:hAnsi="Arial" w:cs="Arial"/>
          <w:lang w:val="fr-CH"/>
        </w:rPr>
        <w:t>a</w:t>
      </w:r>
      <w:r>
        <w:rPr>
          <w:rFonts w:ascii="Arial" w:hAnsi="Arial" w:cs="Arial"/>
          <w:lang w:val="fr-CH"/>
        </w:rPr>
        <w:t xml:space="preserve"> signature et </w:t>
      </w:r>
      <w:r w:rsidR="001031AB">
        <w:rPr>
          <w:rFonts w:ascii="Arial" w:hAnsi="Arial" w:cs="Arial"/>
          <w:lang w:val="fr-CH"/>
        </w:rPr>
        <w:t>la</w:t>
      </w:r>
      <w:r>
        <w:rPr>
          <w:rFonts w:ascii="Arial" w:hAnsi="Arial" w:cs="Arial"/>
          <w:lang w:val="fr-CH"/>
        </w:rPr>
        <w:t xml:space="preserve"> soumission des engagements.</w:t>
      </w:r>
    </w:p>
    <w:p w14:paraId="057899F3" w14:textId="135DF5D9" w:rsidR="00C82AC9" w:rsidRPr="00C82AC9" w:rsidRDefault="00C82AC9" w:rsidP="006373B9">
      <w:pPr>
        <w:jc w:val="both"/>
        <w:rPr>
          <w:rFonts w:ascii="Arial" w:hAnsi="Arial" w:cs="Arial"/>
          <w:b/>
          <w:bCs/>
          <w:lang w:val="fr-CH"/>
        </w:rPr>
      </w:pPr>
      <w:r w:rsidRPr="00C82AC9">
        <w:rPr>
          <w:rFonts w:ascii="Arial" w:hAnsi="Arial" w:cs="Arial"/>
          <w:b/>
          <w:bCs/>
          <w:lang w:val="fr-CH"/>
        </w:rPr>
        <w:lastRenderedPageBreak/>
        <w:t xml:space="preserve">Liste de </w:t>
      </w:r>
      <w:r w:rsidR="006373B9">
        <w:rPr>
          <w:rFonts w:ascii="Arial" w:hAnsi="Arial" w:cs="Arial"/>
          <w:b/>
          <w:bCs/>
          <w:lang w:val="fr-CH"/>
        </w:rPr>
        <w:t>mesures potentielles</w:t>
      </w:r>
      <w:r w:rsidRPr="00C82AC9">
        <w:rPr>
          <w:rFonts w:ascii="Arial" w:hAnsi="Arial" w:cs="Arial"/>
          <w:b/>
          <w:bCs/>
          <w:lang w:val="fr-CH"/>
        </w:rPr>
        <w:t xml:space="preserve"> pou</w:t>
      </w:r>
      <w:r>
        <w:rPr>
          <w:rFonts w:ascii="Arial" w:hAnsi="Arial" w:cs="Arial"/>
          <w:b/>
          <w:bCs/>
          <w:lang w:val="fr-CH"/>
        </w:rPr>
        <w:t xml:space="preserve">r renforcer la gouvernance des risques de catastrophe </w:t>
      </w:r>
      <w:r w:rsidR="00815D7A">
        <w:rPr>
          <w:rFonts w:ascii="Arial" w:hAnsi="Arial" w:cs="Arial"/>
          <w:b/>
          <w:bCs/>
          <w:lang w:val="fr-CH"/>
        </w:rPr>
        <w:t>au moyen</w:t>
      </w:r>
      <w:r>
        <w:rPr>
          <w:rFonts w:ascii="Arial" w:hAnsi="Arial" w:cs="Arial"/>
          <w:b/>
          <w:bCs/>
          <w:lang w:val="fr-CH"/>
        </w:rPr>
        <w:t xml:space="preserve"> de lois, de politiques et de plans globaux</w:t>
      </w:r>
    </w:p>
    <w:p w14:paraId="068B1EB0" w14:textId="65420A07" w:rsidR="00E74948" w:rsidRPr="00476172" w:rsidRDefault="00876A62" w:rsidP="00E74948">
      <w:pPr>
        <w:pStyle w:val="ListParagraph"/>
        <w:shd w:val="clear" w:color="auto" w:fill="FFFFFF"/>
        <w:spacing w:before="120" w:after="0" w:line="240" w:lineRule="auto"/>
        <w:ind w:left="426"/>
        <w:jc w:val="both"/>
        <w:rPr>
          <w:rStyle w:val="IntenseReference"/>
          <w:rFonts w:ascii="Arial" w:hAnsi="Arial" w:cs="Arial"/>
          <w:lang w:val="fr-FR"/>
        </w:rPr>
      </w:pPr>
      <w:r w:rsidRPr="00476172">
        <w:rPr>
          <w:rFonts w:ascii="Arial" w:hAnsi="Arial" w:cs="Arial"/>
          <w:lang w:val="fr-FR"/>
        </w:rPr>
        <w:t>[</w:t>
      </w:r>
      <w:r w:rsidR="006373B9" w:rsidRPr="00476172">
        <w:rPr>
          <w:rFonts w:ascii="Arial" w:hAnsi="Arial" w:cs="Arial"/>
          <w:lang w:val="fr-FR"/>
        </w:rPr>
        <w:t>Conjointement</w:t>
      </w:r>
      <w:r w:rsidRPr="00476172">
        <w:rPr>
          <w:rFonts w:ascii="Arial" w:hAnsi="Arial" w:cs="Arial"/>
          <w:lang w:val="fr-FR"/>
        </w:rPr>
        <w:t>]</w:t>
      </w:r>
    </w:p>
    <w:p w14:paraId="00786FDF" w14:textId="0D6F1AE8" w:rsidR="00FA1A03" w:rsidRPr="00476172" w:rsidRDefault="00476172" w:rsidP="4E7A283E">
      <w:pPr>
        <w:numPr>
          <w:ilvl w:val="0"/>
          <w:numId w:val="5"/>
        </w:numPr>
        <w:shd w:val="clear" w:color="auto" w:fill="FFFFFF" w:themeFill="background1"/>
        <w:spacing w:before="120" w:after="0" w:line="240" w:lineRule="auto"/>
        <w:jc w:val="both"/>
        <w:rPr>
          <w:rFonts w:ascii="Arial" w:eastAsia="Arial" w:hAnsi="Arial" w:cs="Arial"/>
          <w:lang w:val="fr-CH"/>
        </w:rPr>
      </w:pPr>
      <w:r w:rsidRPr="00476172">
        <w:rPr>
          <w:rFonts w:ascii="Arial" w:eastAsia="Arial" w:hAnsi="Arial" w:cs="Arial"/>
          <w:lang w:val="fr-CH"/>
        </w:rPr>
        <w:t xml:space="preserve">Mettre en place une </w:t>
      </w:r>
      <w:r w:rsidRPr="00476172">
        <w:rPr>
          <w:rFonts w:ascii="Arial" w:eastAsia="Arial" w:hAnsi="Arial" w:cs="Arial"/>
          <w:b/>
          <w:bCs/>
          <w:lang w:val="fr-CH"/>
        </w:rPr>
        <w:t>structure institutionnelle</w:t>
      </w:r>
      <w:r>
        <w:rPr>
          <w:rFonts w:ascii="Arial" w:eastAsia="Arial" w:hAnsi="Arial" w:cs="Arial"/>
          <w:lang w:val="fr-CH"/>
        </w:rPr>
        <w:t xml:space="preserve"> (telle qu’un groupe de travail ou un comité) chargée de renforcer les cadres juridiques et réglementaires nationaux pertinents en matière de gestion des risques de catastrophe, en </w:t>
      </w:r>
      <w:r w:rsidR="00A7656E">
        <w:rPr>
          <w:rFonts w:ascii="Arial" w:eastAsia="Arial" w:hAnsi="Arial" w:cs="Arial"/>
          <w:lang w:val="fr-CH"/>
        </w:rPr>
        <w:t>invitant</w:t>
      </w:r>
      <w:r>
        <w:rPr>
          <w:rFonts w:ascii="Arial" w:eastAsia="Arial" w:hAnsi="Arial" w:cs="Arial"/>
          <w:lang w:val="fr-CH"/>
        </w:rPr>
        <w:t xml:space="preserve"> des représentants des autorités, </w:t>
      </w:r>
      <w:r w:rsidR="00FB7152">
        <w:rPr>
          <w:rFonts w:ascii="Arial" w:eastAsia="Arial" w:hAnsi="Arial" w:cs="Arial"/>
          <w:lang w:val="fr-CH"/>
        </w:rPr>
        <w:t xml:space="preserve">des </w:t>
      </w:r>
      <w:r>
        <w:rPr>
          <w:rFonts w:ascii="Arial" w:eastAsia="Arial" w:hAnsi="Arial" w:cs="Arial"/>
          <w:lang w:val="fr-CH"/>
        </w:rPr>
        <w:t xml:space="preserve">départements et </w:t>
      </w:r>
      <w:r w:rsidR="00FB7152">
        <w:rPr>
          <w:rFonts w:ascii="Arial" w:eastAsia="Arial" w:hAnsi="Arial" w:cs="Arial"/>
          <w:lang w:val="fr-CH"/>
        </w:rPr>
        <w:t xml:space="preserve">des </w:t>
      </w:r>
      <w:r>
        <w:rPr>
          <w:rFonts w:ascii="Arial" w:eastAsia="Arial" w:hAnsi="Arial" w:cs="Arial"/>
          <w:lang w:val="fr-CH"/>
        </w:rPr>
        <w:t xml:space="preserve">organismes compétents </w:t>
      </w:r>
      <w:r w:rsidR="00A7656E">
        <w:rPr>
          <w:rFonts w:ascii="Arial" w:eastAsia="Arial" w:hAnsi="Arial" w:cs="Arial"/>
          <w:lang w:val="fr-CH"/>
        </w:rPr>
        <w:t>en matière de catastrophes, des parlementaires et des représentants des acteurs non gouvernementaux et des communautés à risque à participer et à contribuer de manière significative au processus.</w:t>
      </w:r>
    </w:p>
    <w:p w14:paraId="051A401F" w14:textId="78D46EC6" w:rsidR="00A7656E" w:rsidRPr="00A7656E" w:rsidRDefault="00A7656E" w:rsidP="4E7A283E">
      <w:pPr>
        <w:numPr>
          <w:ilvl w:val="0"/>
          <w:numId w:val="5"/>
        </w:numPr>
        <w:shd w:val="clear" w:color="auto" w:fill="FFFFFF" w:themeFill="background1"/>
        <w:spacing w:before="120" w:after="0" w:line="240" w:lineRule="auto"/>
        <w:jc w:val="both"/>
        <w:rPr>
          <w:rFonts w:ascii="Arial" w:eastAsia="Arial" w:hAnsi="Arial" w:cs="Arial"/>
          <w:lang w:val="fr-CH"/>
        </w:rPr>
      </w:pPr>
      <w:r w:rsidRPr="00A7656E">
        <w:rPr>
          <w:rFonts w:ascii="Arial" w:eastAsia="Arial" w:hAnsi="Arial" w:cs="Arial"/>
          <w:lang w:val="fr-CH"/>
        </w:rPr>
        <w:t xml:space="preserve">Réaliser une </w:t>
      </w:r>
      <w:r w:rsidRPr="00A7656E">
        <w:rPr>
          <w:rFonts w:ascii="Arial" w:eastAsia="Arial" w:hAnsi="Arial" w:cs="Arial"/>
          <w:b/>
          <w:bCs/>
          <w:lang w:val="fr-CH"/>
        </w:rPr>
        <w:t>analyse des risques de catastrophe</w:t>
      </w:r>
      <w:r>
        <w:rPr>
          <w:rFonts w:ascii="Arial" w:eastAsia="Arial" w:hAnsi="Arial" w:cs="Arial"/>
          <w:lang w:val="fr-CH"/>
        </w:rPr>
        <w:t xml:space="preserve"> et mettre en évidence les principaux aléas dans le pays, les niveaux d’exposition et de vulnérabilité à ces aléas et les capacités de gestion et de réduction des risques de catastrophe.</w:t>
      </w:r>
    </w:p>
    <w:p w14:paraId="526F073C" w14:textId="14C7C583" w:rsidR="00A7656E" w:rsidRDefault="00A7656E" w:rsidP="45563BA4">
      <w:pPr>
        <w:numPr>
          <w:ilvl w:val="0"/>
          <w:numId w:val="5"/>
        </w:numPr>
        <w:shd w:val="clear" w:color="auto" w:fill="FFFFFF" w:themeFill="background1"/>
        <w:spacing w:before="120" w:after="0" w:line="240" w:lineRule="auto"/>
        <w:jc w:val="both"/>
        <w:rPr>
          <w:rFonts w:ascii="Arial" w:hAnsi="Arial" w:cs="Arial"/>
          <w:lang w:val="fr-CH"/>
        </w:rPr>
      </w:pPr>
      <w:r w:rsidRPr="00A7656E">
        <w:rPr>
          <w:rFonts w:ascii="Arial" w:hAnsi="Arial" w:cs="Arial"/>
          <w:lang w:val="fr-CH"/>
        </w:rPr>
        <w:t xml:space="preserve">Réaliser une </w:t>
      </w:r>
      <w:r w:rsidRPr="00A7656E">
        <w:rPr>
          <w:rFonts w:ascii="Arial" w:hAnsi="Arial" w:cs="Arial"/>
          <w:b/>
          <w:bCs/>
          <w:lang w:val="fr-CH"/>
        </w:rPr>
        <w:t>cartographie des dispositifs institutionnels existants</w:t>
      </w:r>
      <w:r>
        <w:rPr>
          <w:rFonts w:ascii="Arial" w:hAnsi="Arial" w:cs="Arial"/>
          <w:lang w:val="fr-CH"/>
        </w:rPr>
        <w:t xml:space="preserve"> en matière de gestion des risques de catastrophe, </w:t>
      </w:r>
      <w:r w:rsidR="008C5C26">
        <w:rPr>
          <w:rFonts w:ascii="Arial" w:hAnsi="Arial" w:cs="Arial"/>
          <w:lang w:val="fr-CH"/>
        </w:rPr>
        <w:t>en mettant notamment en évidence l</w:t>
      </w:r>
      <w:r>
        <w:rPr>
          <w:rFonts w:ascii="Arial" w:hAnsi="Arial" w:cs="Arial"/>
          <w:lang w:val="fr-CH"/>
        </w:rPr>
        <w:t xml:space="preserve">es principaux acteurs gouvernementaux et non gouvernementaux concernés, </w:t>
      </w:r>
      <w:r w:rsidR="008C5C26">
        <w:rPr>
          <w:rFonts w:ascii="Arial" w:hAnsi="Arial" w:cs="Arial"/>
          <w:lang w:val="fr-CH"/>
        </w:rPr>
        <w:t>l</w:t>
      </w:r>
      <w:r>
        <w:rPr>
          <w:rFonts w:ascii="Arial" w:hAnsi="Arial" w:cs="Arial"/>
          <w:lang w:val="fr-CH"/>
        </w:rPr>
        <w:t xml:space="preserve">es rôles clés, </w:t>
      </w:r>
      <w:r w:rsidR="008C5C26">
        <w:rPr>
          <w:rFonts w:ascii="Arial" w:hAnsi="Arial" w:cs="Arial"/>
          <w:lang w:val="fr-CH"/>
        </w:rPr>
        <w:t>l</w:t>
      </w:r>
      <w:r>
        <w:rPr>
          <w:rFonts w:ascii="Arial" w:hAnsi="Arial" w:cs="Arial"/>
          <w:lang w:val="fr-CH"/>
        </w:rPr>
        <w:t xml:space="preserve">es responsabilités et </w:t>
      </w:r>
      <w:r w:rsidR="008C5C26">
        <w:rPr>
          <w:rFonts w:ascii="Arial" w:hAnsi="Arial" w:cs="Arial"/>
          <w:lang w:val="fr-CH"/>
        </w:rPr>
        <w:t>l</w:t>
      </w:r>
      <w:r>
        <w:rPr>
          <w:rFonts w:ascii="Arial" w:hAnsi="Arial" w:cs="Arial"/>
          <w:lang w:val="fr-CH"/>
        </w:rPr>
        <w:t xml:space="preserve">es mécanismes de coordination des différents aspects de la gestion des risques de catastrophe et des différents types de catastrophes, </w:t>
      </w:r>
      <w:r w:rsidR="008C5C26">
        <w:rPr>
          <w:rFonts w:ascii="Arial" w:hAnsi="Arial" w:cs="Arial"/>
          <w:lang w:val="fr-CH"/>
        </w:rPr>
        <w:t>ainsi que les capacités et les ressources disponibles.</w:t>
      </w:r>
    </w:p>
    <w:p w14:paraId="16693107" w14:textId="45DDC433" w:rsidR="008C5C26" w:rsidRDefault="008C5C26" w:rsidP="45563BA4">
      <w:pPr>
        <w:numPr>
          <w:ilvl w:val="0"/>
          <w:numId w:val="5"/>
        </w:numPr>
        <w:shd w:val="clear" w:color="auto" w:fill="FFFFFF" w:themeFill="background1"/>
        <w:spacing w:before="120" w:after="0" w:line="240" w:lineRule="auto"/>
        <w:jc w:val="both"/>
        <w:rPr>
          <w:rFonts w:ascii="Arial" w:hAnsi="Arial" w:cs="Arial"/>
          <w:lang w:val="fr-CH"/>
        </w:rPr>
      </w:pPr>
      <w:r w:rsidRPr="008C5C26">
        <w:rPr>
          <w:rFonts w:ascii="Arial" w:hAnsi="Arial" w:cs="Arial"/>
          <w:b/>
          <w:bCs/>
          <w:lang w:val="fr-CH"/>
        </w:rPr>
        <w:t>Consulter les parties prenantes</w:t>
      </w:r>
      <w:r>
        <w:rPr>
          <w:rFonts w:ascii="Arial" w:hAnsi="Arial" w:cs="Arial"/>
          <w:lang w:val="fr-CH"/>
        </w:rPr>
        <w:t xml:space="preserve"> afin d’identifier les principaux défis et problèmes pratiques qu’elles rencontrent en matière de gestion des risques de catastrophe dans le pays, les types de solutions qu’il pourrait être nécessaire de mettre en œuvre et la façon dont les faiblesses ou les lacunes des dispositions juridiques existantes influencent ces questions.</w:t>
      </w:r>
    </w:p>
    <w:p w14:paraId="034C5F79" w14:textId="6765E51E" w:rsidR="00846DE8" w:rsidRPr="00A7656E" w:rsidRDefault="00846DE8" w:rsidP="45563BA4">
      <w:pPr>
        <w:numPr>
          <w:ilvl w:val="0"/>
          <w:numId w:val="5"/>
        </w:numPr>
        <w:shd w:val="clear" w:color="auto" w:fill="FFFFFF" w:themeFill="background1"/>
        <w:spacing w:before="120" w:after="0" w:line="240" w:lineRule="auto"/>
        <w:jc w:val="both"/>
        <w:rPr>
          <w:rFonts w:ascii="Arial" w:hAnsi="Arial" w:cs="Arial"/>
          <w:lang w:val="fr-CH"/>
        </w:rPr>
      </w:pPr>
      <w:r w:rsidRPr="00846DE8">
        <w:rPr>
          <w:rFonts w:ascii="Arial" w:hAnsi="Arial" w:cs="Arial"/>
          <w:lang w:val="fr-CH"/>
        </w:rPr>
        <w:t>Réaliser un</w:t>
      </w:r>
      <w:r>
        <w:rPr>
          <w:rFonts w:ascii="Arial" w:hAnsi="Arial" w:cs="Arial"/>
          <w:b/>
          <w:bCs/>
          <w:lang w:val="fr-CH"/>
        </w:rPr>
        <w:t xml:space="preserve"> examen des lois </w:t>
      </w:r>
      <w:r w:rsidRPr="00846DE8">
        <w:rPr>
          <w:rFonts w:ascii="Arial" w:hAnsi="Arial" w:cs="Arial"/>
          <w:lang w:val="fr-CH"/>
        </w:rPr>
        <w:t>et</w:t>
      </w:r>
      <w:r>
        <w:rPr>
          <w:rFonts w:ascii="Arial" w:hAnsi="Arial" w:cs="Arial"/>
          <w:lang w:val="fr-CH"/>
        </w:rPr>
        <w:t xml:space="preserve"> déterminer s’il existe des lois, des politiques, des stratégies et des plans nationaux complets et à jour pour gérer les risques de catastrophe de toutes sortes, y compris les urgences de santé publique et les urgences liées au climat. Utiliser les paragraphes du dispositif de la résolution intitulée « </w:t>
      </w:r>
      <w:r w:rsidRPr="00846DE8">
        <w:rPr>
          <w:rFonts w:ascii="Arial" w:hAnsi="Arial" w:cs="Arial"/>
          <w:i/>
          <w:iCs/>
          <w:lang w:val="fr-CH"/>
        </w:rPr>
        <w:t>Renforcer la gouvernance des risques de catastrophe au moyen de lois, de politiques et de plans globaux relatifs aux catastrophes</w:t>
      </w:r>
      <w:r>
        <w:rPr>
          <w:rFonts w:ascii="Arial" w:hAnsi="Arial" w:cs="Arial"/>
          <w:lang w:val="fr-CH"/>
        </w:rPr>
        <w:t xml:space="preserve"> » et les </w:t>
      </w:r>
      <w:hyperlink r:id="rId16" w:history="1">
        <w:r w:rsidRPr="00E34934">
          <w:rPr>
            <w:rStyle w:val="Hyperlink"/>
            <w:rFonts w:ascii="Arial" w:hAnsi="Arial" w:cs="Arial"/>
            <w:i/>
            <w:iCs/>
            <w:lang w:val="fr-CH"/>
          </w:rPr>
          <w:t>Lignes directrices sur la gestion des risques de catastrophe –</w:t>
        </w:r>
        <w:r w:rsidRPr="00E34934">
          <w:rPr>
            <w:rStyle w:val="Hyperlink"/>
            <w:rFonts w:ascii="Arial" w:hAnsi="Arial" w:cs="Arial"/>
            <w:lang w:val="fr-CH"/>
          </w:rPr>
          <w:t xml:space="preserve"> </w:t>
        </w:r>
        <w:r w:rsidRPr="00E34934">
          <w:rPr>
            <w:rStyle w:val="Hyperlink"/>
            <w:rFonts w:ascii="Arial" w:hAnsi="Arial" w:cs="Arial"/>
            <w:i/>
            <w:iCs/>
            <w:lang w:val="fr-CH"/>
          </w:rPr>
          <w:t>Renforcer les lois, les politiques et les plans pour une gestion complète et efficace des risques de catastrophe</w:t>
        </w:r>
      </w:hyperlink>
      <w:r w:rsidR="00E34934">
        <w:rPr>
          <w:rFonts w:ascii="Arial" w:hAnsi="Arial" w:cs="Arial"/>
          <w:lang w:val="fr-CH"/>
        </w:rPr>
        <w:t xml:space="preserve"> comme </w:t>
      </w:r>
      <w:r w:rsidR="005E0EF1">
        <w:rPr>
          <w:rFonts w:ascii="Arial" w:hAnsi="Arial" w:cs="Arial"/>
          <w:lang w:val="fr-CH"/>
        </w:rPr>
        <w:t>éléments</w:t>
      </w:r>
      <w:r w:rsidR="00E34934">
        <w:rPr>
          <w:rFonts w:ascii="Arial" w:hAnsi="Arial" w:cs="Arial"/>
          <w:lang w:val="fr-CH"/>
        </w:rPr>
        <w:t xml:space="preserve"> de référence pour évaluer les instruments juridiques nationaux et identifier les forces, les faiblesses et les lacunes à </w:t>
      </w:r>
      <w:r w:rsidR="00365560">
        <w:rPr>
          <w:rFonts w:ascii="Arial" w:hAnsi="Arial" w:cs="Arial"/>
          <w:lang w:val="fr-CH"/>
        </w:rPr>
        <w:t>combler</w:t>
      </w:r>
      <w:r w:rsidR="00E34934">
        <w:rPr>
          <w:rFonts w:ascii="Arial" w:hAnsi="Arial" w:cs="Arial"/>
          <w:lang w:val="fr-CH"/>
        </w:rPr>
        <w:t>.</w:t>
      </w:r>
    </w:p>
    <w:p w14:paraId="4C899807" w14:textId="30EAA991" w:rsidR="008C5C26" w:rsidRPr="008C5C26" w:rsidRDefault="008C5C26" w:rsidP="00703E6B">
      <w:pPr>
        <w:numPr>
          <w:ilvl w:val="0"/>
          <w:numId w:val="5"/>
        </w:numPr>
        <w:shd w:val="clear" w:color="auto" w:fill="FFFFFF" w:themeFill="background1"/>
        <w:spacing w:before="120" w:after="0" w:line="240" w:lineRule="auto"/>
        <w:jc w:val="both"/>
        <w:rPr>
          <w:rFonts w:ascii="Arial" w:eastAsia="Arial" w:hAnsi="Arial" w:cs="Arial"/>
          <w:lang w:val="fr-CH"/>
        </w:rPr>
      </w:pPr>
      <w:r w:rsidRPr="008C5C26">
        <w:rPr>
          <w:rFonts w:ascii="Arial" w:eastAsia="Arial" w:hAnsi="Arial" w:cs="Arial"/>
          <w:lang w:val="fr-CH"/>
        </w:rPr>
        <w:t xml:space="preserve">Élaborer de </w:t>
      </w:r>
      <w:r w:rsidRPr="008C5C26">
        <w:rPr>
          <w:rFonts w:ascii="Arial" w:eastAsia="Arial" w:hAnsi="Arial" w:cs="Arial"/>
          <w:b/>
          <w:bCs/>
          <w:lang w:val="fr-CH"/>
        </w:rPr>
        <w:t>nouveaux instruments juridiques</w:t>
      </w:r>
      <w:r>
        <w:rPr>
          <w:rFonts w:ascii="Arial" w:eastAsia="Arial" w:hAnsi="Arial" w:cs="Arial"/>
          <w:lang w:val="fr-CH"/>
        </w:rPr>
        <w:t xml:space="preserve"> ou amender les instruments existants, sur la base des lacunes et des faiblesses identifiées lors de l’examen des lois.</w:t>
      </w:r>
    </w:p>
    <w:p w14:paraId="579D83C3" w14:textId="22DE8E70" w:rsidR="008C5C26" w:rsidRPr="008C5C26" w:rsidRDefault="008C5C26">
      <w:pPr>
        <w:numPr>
          <w:ilvl w:val="0"/>
          <w:numId w:val="5"/>
        </w:numPr>
        <w:shd w:val="clear" w:color="auto" w:fill="FFFFFF" w:themeFill="background1"/>
        <w:spacing w:before="120" w:after="0" w:line="240" w:lineRule="auto"/>
        <w:jc w:val="both"/>
        <w:rPr>
          <w:rFonts w:ascii="Arial" w:hAnsi="Arial" w:cs="Arial"/>
          <w:lang w:val="fr-CH"/>
        </w:rPr>
      </w:pPr>
      <w:r w:rsidRPr="008C5C26">
        <w:rPr>
          <w:rFonts w:ascii="Arial" w:hAnsi="Arial" w:cs="Arial"/>
          <w:b/>
          <w:bCs/>
          <w:lang w:val="fr-CH"/>
        </w:rPr>
        <w:t>Renforcer la mise en œuvre</w:t>
      </w:r>
      <w:r>
        <w:rPr>
          <w:rFonts w:ascii="Arial" w:hAnsi="Arial" w:cs="Arial"/>
          <w:lang w:val="fr-CH"/>
        </w:rPr>
        <w:t xml:space="preserve"> des instruments juridiques existants par le biais</w:t>
      </w:r>
      <w:r w:rsidR="00DF4373">
        <w:rPr>
          <w:rFonts w:ascii="Arial" w:hAnsi="Arial" w:cs="Arial"/>
          <w:lang w:val="fr-CH"/>
        </w:rPr>
        <w:t xml:space="preserve"> notamment</w:t>
      </w:r>
      <w:r>
        <w:rPr>
          <w:rFonts w:ascii="Arial" w:hAnsi="Arial" w:cs="Arial"/>
          <w:lang w:val="fr-CH"/>
        </w:rPr>
        <w:t xml:space="preserve"> de</w:t>
      </w:r>
      <w:r w:rsidR="00DF4373">
        <w:rPr>
          <w:rFonts w:ascii="Arial" w:hAnsi="Arial" w:cs="Arial"/>
          <w:lang w:val="fr-CH"/>
        </w:rPr>
        <w:t>s</w:t>
      </w:r>
      <w:r>
        <w:rPr>
          <w:rFonts w:ascii="Arial" w:hAnsi="Arial" w:cs="Arial"/>
          <w:lang w:val="fr-CH"/>
        </w:rPr>
        <w:t xml:space="preserve"> mesures </w:t>
      </w:r>
      <w:r w:rsidR="00DF4373">
        <w:rPr>
          <w:rFonts w:ascii="Arial" w:hAnsi="Arial" w:cs="Arial"/>
          <w:lang w:val="fr-CH"/>
        </w:rPr>
        <w:t>suivantes</w:t>
      </w:r>
      <w:r>
        <w:rPr>
          <w:rFonts w:ascii="Arial" w:hAnsi="Arial" w:cs="Arial"/>
          <w:lang w:val="fr-CH"/>
        </w:rPr>
        <w:t> :</w:t>
      </w:r>
    </w:p>
    <w:p w14:paraId="0D5EBD7C" w14:textId="2FC10AD9" w:rsidR="00770127" w:rsidRPr="00770127" w:rsidRDefault="00770127">
      <w:pPr>
        <w:numPr>
          <w:ilvl w:val="1"/>
          <w:numId w:val="5"/>
        </w:numPr>
        <w:shd w:val="clear" w:color="auto" w:fill="FFFFFF" w:themeFill="background1"/>
        <w:spacing w:before="120" w:after="0" w:line="240" w:lineRule="auto"/>
        <w:jc w:val="both"/>
        <w:rPr>
          <w:rFonts w:ascii="Arial" w:hAnsi="Arial" w:cs="Arial"/>
          <w:highlight w:val="white"/>
          <w:lang w:val="fr-CH"/>
        </w:rPr>
      </w:pPr>
      <w:r w:rsidRPr="00770127">
        <w:rPr>
          <w:rFonts w:ascii="Arial" w:hAnsi="Arial" w:cs="Arial"/>
          <w:highlight w:val="white"/>
          <w:lang w:val="fr-CH"/>
        </w:rPr>
        <w:t>mettre au point des p</w:t>
      </w:r>
      <w:r>
        <w:rPr>
          <w:rFonts w:ascii="Arial" w:hAnsi="Arial" w:cs="Arial"/>
          <w:highlight w:val="white"/>
          <w:lang w:val="fr-CH"/>
        </w:rPr>
        <w:t>ossibilités de formation conjointes pour les effectifs [y compris le personnel et les volontaires] des Sociétés nationales et des gouvernements aux niveaux national, régional et local ;</w:t>
      </w:r>
    </w:p>
    <w:p w14:paraId="2D7D6FB2" w14:textId="49E4DBF4" w:rsidR="00770127" w:rsidRPr="00770127" w:rsidRDefault="00770127" w:rsidP="4E7A283E">
      <w:pPr>
        <w:numPr>
          <w:ilvl w:val="1"/>
          <w:numId w:val="5"/>
        </w:numPr>
        <w:shd w:val="clear" w:color="auto" w:fill="FFFFFF" w:themeFill="background1"/>
        <w:spacing w:before="120" w:after="0" w:line="240" w:lineRule="auto"/>
        <w:jc w:val="both"/>
        <w:rPr>
          <w:rFonts w:ascii="Arial" w:hAnsi="Arial" w:cs="Arial"/>
          <w:highlight w:val="white"/>
          <w:lang w:val="fr-CH"/>
        </w:rPr>
      </w:pPr>
      <w:r w:rsidRPr="00770127">
        <w:rPr>
          <w:rFonts w:ascii="Arial" w:hAnsi="Arial" w:cs="Arial"/>
          <w:highlight w:val="white"/>
          <w:lang w:val="fr-CH"/>
        </w:rPr>
        <w:t>promouvoir le partage des e</w:t>
      </w:r>
      <w:r>
        <w:rPr>
          <w:rFonts w:ascii="Arial" w:hAnsi="Arial" w:cs="Arial"/>
          <w:highlight w:val="white"/>
          <w:lang w:val="fr-CH"/>
        </w:rPr>
        <w:t>xpériences, des techniques et des bonnes pratiques entre les pays ;</w:t>
      </w:r>
    </w:p>
    <w:p w14:paraId="252ECF8D" w14:textId="0EE270A0" w:rsidR="00E74948" w:rsidRDefault="00770127" w:rsidP="4E7A283E">
      <w:pPr>
        <w:numPr>
          <w:ilvl w:val="1"/>
          <w:numId w:val="5"/>
        </w:numPr>
        <w:shd w:val="clear" w:color="auto" w:fill="FFFFFF" w:themeFill="background1"/>
        <w:spacing w:before="120" w:after="0" w:line="240" w:lineRule="auto"/>
        <w:jc w:val="both"/>
        <w:rPr>
          <w:rFonts w:ascii="Arial" w:hAnsi="Arial" w:cs="Arial"/>
          <w:highlight w:val="white"/>
          <w:lang w:val="fr-CH"/>
        </w:rPr>
      </w:pPr>
      <w:r>
        <w:rPr>
          <w:rFonts w:ascii="Arial" w:hAnsi="Arial" w:cs="Arial"/>
          <w:highlight w:val="white"/>
          <w:lang w:val="fr-CH"/>
        </w:rPr>
        <w:t>organiser</w:t>
      </w:r>
      <w:r w:rsidRPr="00770127">
        <w:rPr>
          <w:rFonts w:ascii="Arial" w:hAnsi="Arial" w:cs="Arial"/>
          <w:highlight w:val="white"/>
          <w:lang w:val="fr-CH"/>
        </w:rPr>
        <w:t xml:space="preserve"> des exercices et d</w:t>
      </w:r>
      <w:r>
        <w:rPr>
          <w:rFonts w:ascii="Arial" w:hAnsi="Arial" w:cs="Arial"/>
          <w:highlight w:val="white"/>
          <w:lang w:val="fr-CH"/>
        </w:rPr>
        <w:t xml:space="preserve">es simulations pour tous les acteurs qui </w:t>
      </w:r>
      <w:r w:rsidR="00FA6432">
        <w:rPr>
          <w:rFonts w:ascii="Arial" w:hAnsi="Arial" w:cs="Arial"/>
          <w:highlight w:val="white"/>
          <w:lang w:val="fr-CH"/>
        </w:rPr>
        <w:t>assument</w:t>
      </w:r>
      <w:r>
        <w:rPr>
          <w:rFonts w:ascii="Arial" w:hAnsi="Arial" w:cs="Arial"/>
          <w:highlight w:val="white"/>
          <w:lang w:val="fr-CH"/>
        </w:rPr>
        <w:t xml:space="preserve"> des rôles et des responsabilités dans la gestion des risques de catastrophe ;</w:t>
      </w:r>
    </w:p>
    <w:p w14:paraId="28E43756" w14:textId="4D40EDEC" w:rsidR="00770127" w:rsidRDefault="00770127" w:rsidP="4E7A283E">
      <w:pPr>
        <w:numPr>
          <w:ilvl w:val="1"/>
          <w:numId w:val="5"/>
        </w:numPr>
        <w:shd w:val="clear" w:color="auto" w:fill="FFFFFF" w:themeFill="background1"/>
        <w:spacing w:before="120" w:after="0" w:line="240" w:lineRule="auto"/>
        <w:jc w:val="both"/>
        <w:rPr>
          <w:rFonts w:ascii="Arial" w:hAnsi="Arial" w:cs="Arial"/>
          <w:highlight w:val="white"/>
          <w:lang w:val="fr-CH"/>
        </w:rPr>
      </w:pPr>
      <w:r>
        <w:rPr>
          <w:rFonts w:ascii="Arial" w:hAnsi="Arial" w:cs="Arial"/>
          <w:highlight w:val="white"/>
          <w:lang w:val="fr-CH"/>
        </w:rPr>
        <w:t>soutenir l’élaboration d’outils, de modèles, de lignes directrices et de travaux de recherche ;</w:t>
      </w:r>
    </w:p>
    <w:p w14:paraId="0D4B2E82" w14:textId="0BCE6769" w:rsidR="00770127" w:rsidRPr="00770127" w:rsidRDefault="00770127" w:rsidP="4E7A283E">
      <w:pPr>
        <w:numPr>
          <w:ilvl w:val="1"/>
          <w:numId w:val="5"/>
        </w:numPr>
        <w:shd w:val="clear" w:color="auto" w:fill="FFFFFF" w:themeFill="background1"/>
        <w:spacing w:before="120" w:after="0" w:line="240" w:lineRule="auto"/>
        <w:jc w:val="both"/>
        <w:rPr>
          <w:rFonts w:ascii="Arial" w:hAnsi="Arial" w:cs="Arial"/>
          <w:highlight w:val="white"/>
          <w:lang w:val="fr-CH"/>
        </w:rPr>
      </w:pPr>
      <w:r>
        <w:rPr>
          <w:rFonts w:ascii="Arial" w:hAnsi="Arial" w:cs="Arial"/>
          <w:highlight w:val="white"/>
          <w:lang w:val="fr-CH"/>
        </w:rPr>
        <w:lastRenderedPageBreak/>
        <w:t>améliorer la compréhension par le public des droits, des rôles et des responsabilités des différents acteurs en vertu des lois et des politiques existantes en matière de gestion des risques de catastrophe.</w:t>
      </w:r>
    </w:p>
    <w:p w14:paraId="1584EC36" w14:textId="0D0533F0" w:rsidR="008C5C26" w:rsidRPr="008C5C26" w:rsidRDefault="008C5C26" w:rsidP="008C5C26">
      <w:pPr>
        <w:numPr>
          <w:ilvl w:val="0"/>
          <w:numId w:val="5"/>
        </w:numPr>
        <w:shd w:val="clear" w:color="auto" w:fill="FFFFFF" w:themeFill="background1"/>
        <w:spacing w:before="120" w:after="0" w:line="240" w:lineRule="auto"/>
        <w:jc w:val="both"/>
        <w:rPr>
          <w:rFonts w:ascii="Arial" w:hAnsi="Arial" w:cs="Arial"/>
          <w:i/>
          <w:iCs/>
          <w:lang w:val="fr-CH"/>
        </w:rPr>
      </w:pPr>
      <w:r w:rsidRPr="008C5C26">
        <w:rPr>
          <w:rFonts w:ascii="Arial" w:hAnsi="Arial" w:cs="Arial"/>
          <w:b/>
          <w:bCs/>
          <w:lang w:val="fr-CH"/>
        </w:rPr>
        <w:t xml:space="preserve">Mener des discussions </w:t>
      </w:r>
      <w:r w:rsidRPr="008C5C26">
        <w:rPr>
          <w:rFonts w:ascii="Arial" w:hAnsi="Arial" w:cs="Arial"/>
          <w:lang w:val="fr-CH"/>
        </w:rPr>
        <w:t>sur l</w:t>
      </w:r>
      <w:r>
        <w:rPr>
          <w:rFonts w:ascii="Arial" w:hAnsi="Arial" w:cs="Arial"/>
          <w:lang w:val="fr-CH"/>
        </w:rPr>
        <w:t>’éventualité d’une nouvelle convention internationale ou d’un autre instrument fondé sur</w:t>
      </w:r>
      <w:r w:rsidR="00AA3C4B">
        <w:rPr>
          <w:rFonts w:ascii="Arial" w:hAnsi="Arial" w:cs="Arial"/>
          <w:lang w:val="fr-CH"/>
        </w:rPr>
        <w:t xml:space="preserve"> le Projet d’articles sur la protection des personnes en cas de catastrophe de la Commission du droit international.</w:t>
      </w:r>
      <w:r>
        <w:rPr>
          <w:rFonts w:ascii="Arial" w:hAnsi="Arial" w:cs="Arial"/>
          <w:lang w:val="fr-CH"/>
        </w:rPr>
        <w:t xml:space="preserve"> </w:t>
      </w:r>
    </w:p>
    <w:p w14:paraId="50E6800C" w14:textId="77777777" w:rsidR="00762A80" w:rsidRPr="00846DE8" w:rsidRDefault="00762A80" w:rsidP="00976459">
      <w:pPr>
        <w:shd w:val="clear" w:color="auto" w:fill="FFFFFF" w:themeFill="background1"/>
        <w:spacing w:before="120" w:after="0" w:line="240" w:lineRule="auto"/>
        <w:ind w:left="720"/>
        <w:jc w:val="both"/>
        <w:rPr>
          <w:rFonts w:ascii="Arial" w:hAnsi="Arial" w:cs="Arial"/>
          <w:i/>
          <w:iCs/>
          <w:lang w:val="fr-CH"/>
        </w:rPr>
      </w:pPr>
    </w:p>
    <w:p w14:paraId="2B330B6C" w14:textId="0D861417" w:rsidR="00C82AC9" w:rsidRPr="00C82AC9" w:rsidRDefault="00C82AC9" w:rsidP="00B44A10">
      <w:pPr>
        <w:jc w:val="both"/>
        <w:rPr>
          <w:rFonts w:ascii="Arial" w:hAnsi="Arial" w:cs="Arial"/>
          <w:b/>
          <w:bCs/>
          <w:lang w:val="fr-CH"/>
        </w:rPr>
      </w:pPr>
      <w:r w:rsidRPr="00C82AC9">
        <w:rPr>
          <w:rFonts w:ascii="Arial" w:hAnsi="Arial" w:cs="Arial"/>
          <w:b/>
          <w:bCs/>
          <w:lang w:val="fr-CH"/>
        </w:rPr>
        <w:t>Liste d’indicateurs et d’étapes p</w:t>
      </w:r>
      <w:r>
        <w:rPr>
          <w:rFonts w:ascii="Arial" w:hAnsi="Arial" w:cs="Arial"/>
          <w:b/>
          <w:bCs/>
          <w:lang w:val="fr-CH"/>
        </w:rPr>
        <w:t xml:space="preserve">otentiels (veuillez sélectionner les éléments pertinents pour votre engagement ou en définir de nouveaux) </w:t>
      </w:r>
    </w:p>
    <w:p w14:paraId="0206752F" w14:textId="1DA33AE6" w:rsidR="001031AB" w:rsidRPr="001031AB" w:rsidRDefault="001031AB" w:rsidP="0C22CC7B">
      <w:pPr>
        <w:numPr>
          <w:ilvl w:val="0"/>
          <w:numId w:val="2"/>
        </w:numPr>
        <w:spacing w:before="120" w:after="0" w:line="240" w:lineRule="auto"/>
        <w:jc w:val="both"/>
        <w:rPr>
          <w:rFonts w:ascii="Arial" w:hAnsi="Arial" w:cs="Arial"/>
          <w:lang w:val="fr-CH"/>
        </w:rPr>
      </w:pPr>
      <w:r w:rsidRPr="001031AB">
        <w:rPr>
          <w:rFonts w:ascii="Arial" w:hAnsi="Arial" w:cs="Arial"/>
          <w:lang w:val="fr-CH"/>
        </w:rPr>
        <w:t>Nombre de lois</w:t>
      </w:r>
      <w:r>
        <w:rPr>
          <w:rFonts w:ascii="Arial" w:hAnsi="Arial" w:cs="Arial"/>
          <w:lang w:val="fr-CH"/>
        </w:rPr>
        <w:t>/</w:t>
      </w:r>
      <w:r w:rsidRPr="001031AB">
        <w:rPr>
          <w:rFonts w:ascii="Arial" w:hAnsi="Arial" w:cs="Arial"/>
          <w:lang w:val="fr-CH"/>
        </w:rPr>
        <w:t>r</w:t>
      </w:r>
      <w:r>
        <w:rPr>
          <w:rFonts w:ascii="Arial" w:hAnsi="Arial" w:cs="Arial"/>
          <w:lang w:val="fr-CH"/>
        </w:rPr>
        <w:t xml:space="preserve">èglements/politiques/stratégies/règles/plans relatifs à la gestion globale des risques de catastrophe nouvellement élaborés, adoptés, révisés ou mis à jour par le gouvernement à l’aide des </w:t>
      </w:r>
      <w:r w:rsidR="00637EDD" w:rsidRPr="00637EDD">
        <w:rPr>
          <w:rFonts w:ascii="Arial" w:hAnsi="Arial" w:cs="Arial"/>
          <w:i/>
          <w:iCs/>
          <w:lang w:val="fr-CH"/>
        </w:rPr>
        <w:t>Lignes directrices sur la gestion des risques de catastrophe –</w:t>
      </w:r>
      <w:r w:rsidR="00637EDD">
        <w:rPr>
          <w:rFonts w:ascii="Arial" w:hAnsi="Arial" w:cs="Arial"/>
          <w:lang w:val="fr-CH"/>
        </w:rPr>
        <w:t xml:space="preserve"> </w:t>
      </w:r>
      <w:r w:rsidR="00637EDD" w:rsidRPr="00637EDD">
        <w:rPr>
          <w:rFonts w:ascii="Arial" w:hAnsi="Arial" w:cs="Arial"/>
          <w:i/>
          <w:iCs/>
          <w:lang w:val="fr-CH"/>
        </w:rPr>
        <w:t>Renforcer les lois, les politiques et les plans pour une gestion complète et efficace des risques de catastrophe</w:t>
      </w:r>
      <w:r w:rsidR="00637EDD">
        <w:rPr>
          <w:rFonts w:ascii="Arial" w:hAnsi="Arial" w:cs="Arial"/>
          <w:lang w:val="fr-CH"/>
        </w:rPr>
        <w:t>.</w:t>
      </w:r>
    </w:p>
    <w:p w14:paraId="33C6698F" w14:textId="077D792C" w:rsidR="005D5946" w:rsidRPr="005D5946" w:rsidRDefault="46206361" w:rsidP="0C22CC7B">
      <w:pPr>
        <w:numPr>
          <w:ilvl w:val="0"/>
          <w:numId w:val="2"/>
        </w:numPr>
        <w:spacing w:before="120" w:after="0" w:line="240" w:lineRule="auto"/>
        <w:jc w:val="both"/>
        <w:rPr>
          <w:rFonts w:ascii="Arial" w:eastAsia="Arial" w:hAnsi="Arial" w:cs="Arial"/>
          <w:color w:val="000000" w:themeColor="text1"/>
          <w:lang w:val="fr-CH"/>
        </w:rPr>
      </w:pPr>
      <w:r w:rsidRPr="005D5946">
        <w:rPr>
          <w:rFonts w:ascii="Arial" w:hAnsi="Arial" w:cs="Arial"/>
          <w:lang w:val="fr-CH"/>
        </w:rPr>
        <w:t xml:space="preserve">Existence </w:t>
      </w:r>
      <w:r w:rsidR="005D5946" w:rsidRPr="005D5946">
        <w:rPr>
          <w:rFonts w:ascii="Arial" w:hAnsi="Arial" w:cs="Arial"/>
          <w:lang w:val="fr-CH"/>
        </w:rPr>
        <w:t>d’une structure institu</w:t>
      </w:r>
      <w:r w:rsidR="005D5946">
        <w:rPr>
          <w:rFonts w:ascii="Arial" w:hAnsi="Arial" w:cs="Arial"/>
          <w:lang w:val="fr-CH"/>
        </w:rPr>
        <w:t>t</w:t>
      </w:r>
      <w:r w:rsidR="005D5946" w:rsidRPr="005D5946">
        <w:rPr>
          <w:rFonts w:ascii="Arial" w:hAnsi="Arial" w:cs="Arial"/>
          <w:lang w:val="fr-CH"/>
        </w:rPr>
        <w:t>ionnelle (</w:t>
      </w:r>
      <w:r w:rsidR="005D5946">
        <w:rPr>
          <w:rFonts w:ascii="Arial" w:hAnsi="Arial" w:cs="Arial"/>
          <w:lang w:val="fr-CH"/>
        </w:rPr>
        <w:t>telle qu’un groupe de travail ou un comité) chargée de renforcer les cadres juridiques et réglementaires nationaux pertinents en matière de gestion des risques de catastrophe.</w:t>
      </w:r>
    </w:p>
    <w:p w14:paraId="67F48DC3" w14:textId="0AA20F67" w:rsidR="00032181" w:rsidRPr="00032181" w:rsidRDefault="00032181" w:rsidP="0C22CC7B">
      <w:pPr>
        <w:numPr>
          <w:ilvl w:val="0"/>
          <w:numId w:val="2"/>
        </w:numPr>
        <w:spacing w:before="120" w:after="0" w:line="240" w:lineRule="auto"/>
        <w:jc w:val="both"/>
        <w:rPr>
          <w:rFonts w:ascii="Arial" w:hAnsi="Arial" w:cs="Arial"/>
          <w:lang w:val="fr-CH"/>
        </w:rPr>
      </w:pPr>
      <w:r w:rsidRPr="00032181">
        <w:rPr>
          <w:rFonts w:ascii="Arial" w:hAnsi="Arial" w:cs="Arial"/>
          <w:lang w:val="fr-CH"/>
        </w:rPr>
        <w:t>Nombre de formations / d’exercices d</w:t>
      </w:r>
      <w:r>
        <w:rPr>
          <w:rFonts w:ascii="Arial" w:hAnsi="Arial" w:cs="Arial"/>
          <w:lang w:val="fr-CH"/>
        </w:rPr>
        <w:t xml:space="preserve">e simulation menés par le gouvernement et/ou la Société nationale pour renforcer la compréhension, par le personnel et/ou le public, des droits, des rôles et des responsabilités des différents acteurs </w:t>
      </w:r>
      <w:r w:rsidR="005D5946">
        <w:rPr>
          <w:rFonts w:ascii="Arial" w:hAnsi="Arial" w:cs="Arial"/>
          <w:lang w:val="fr-CH"/>
        </w:rPr>
        <w:t>en vertu des lois et des politiques existantes en matière de gestion des risques de catastrophe.</w:t>
      </w:r>
    </w:p>
    <w:p w14:paraId="5AD0E804" w14:textId="049CE768" w:rsidR="00032181" w:rsidRPr="00032181" w:rsidRDefault="00032181" w:rsidP="0C22CC7B">
      <w:pPr>
        <w:numPr>
          <w:ilvl w:val="0"/>
          <w:numId w:val="2"/>
        </w:numPr>
        <w:spacing w:before="120" w:after="0" w:line="240" w:lineRule="auto"/>
        <w:jc w:val="both"/>
        <w:rPr>
          <w:rFonts w:ascii="Arial" w:hAnsi="Arial" w:cs="Arial"/>
          <w:lang w:val="fr-CH"/>
        </w:rPr>
      </w:pPr>
      <w:r w:rsidRPr="00032181">
        <w:rPr>
          <w:rFonts w:ascii="Arial" w:hAnsi="Arial" w:cs="Arial"/>
          <w:lang w:val="fr-CH"/>
        </w:rPr>
        <w:t>Nombre d’outils, de modèles, d</w:t>
      </w:r>
      <w:r>
        <w:rPr>
          <w:rFonts w:ascii="Arial" w:hAnsi="Arial" w:cs="Arial"/>
          <w:lang w:val="fr-CH"/>
        </w:rPr>
        <w:t>e lignes directrices et/ou de travaux de recherche mis au point par le gouvernement et/ou la Société nationale.</w:t>
      </w:r>
    </w:p>
    <w:p w14:paraId="033F076B" w14:textId="71D58833" w:rsidR="005B47DA" w:rsidRPr="005B47DA" w:rsidRDefault="005B47DA" w:rsidP="00762A80">
      <w:pPr>
        <w:numPr>
          <w:ilvl w:val="0"/>
          <w:numId w:val="2"/>
        </w:numPr>
        <w:spacing w:before="120" w:after="0" w:line="240" w:lineRule="auto"/>
        <w:jc w:val="both"/>
        <w:rPr>
          <w:rFonts w:ascii="Arial" w:hAnsi="Arial" w:cs="Arial"/>
          <w:lang w:val="fr-CH"/>
        </w:rPr>
      </w:pPr>
      <w:r w:rsidRPr="005B47DA">
        <w:rPr>
          <w:rFonts w:ascii="Arial" w:hAnsi="Arial" w:cs="Arial"/>
          <w:lang w:val="fr-CH"/>
        </w:rPr>
        <w:t>Nombre de réunions ou d’</w:t>
      </w:r>
      <w:r>
        <w:rPr>
          <w:rFonts w:ascii="Arial" w:hAnsi="Arial" w:cs="Arial"/>
          <w:lang w:val="fr-CH"/>
        </w:rPr>
        <w:t xml:space="preserve">événements annuels </w:t>
      </w:r>
      <w:r w:rsidR="001E7FD5">
        <w:rPr>
          <w:rFonts w:ascii="Arial" w:hAnsi="Arial" w:cs="Arial"/>
          <w:lang w:val="fr-CH"/>
        </w:rPr>
        <w:t>tenus par le</w:t>
      </w:r>
      <w:r>
        <w:rPr>
          <w:rFonts w:ascii="Arial" w:hAnsi="Arial" w:cs="Arial"/>
          <w:lang w:val="fr-CH"/>
        </w:rPr>
        <w:t xml:space="preserve"> gouvernement et/ou la Société nationale </w:t>
      </w:r>
      <w:r w:rsidR="0023594C">
        <w:rPr>
          <w:rFonts w:ascii="Arial" w:hAnsi="Arial" w:cs="Arial"/>
          <w:lang w:val="fr-CH"/>
        </w:rPr>
        <w:t>ayant pris cet engagement afin de discuter des réalisations, des bonnes pratiques et des défis rencontrés pour mettre en œuvre les mesures</w:t>
      </w:r>
      <w:r w:rsidR="008358A0">
        <w:rPr>
          <w:rFonts w:ascii="Arial" w:hAnsi="Arial" w:cs="Arial"/>
          <w:lang w:val="fr-CH"/>
        </w:rPr>
        <w:t xml:space="preserve"> convenues</w:t>
      </w:r>
      <w:r w:rsidR="0023594C">
        <w:rPr>
          <w:rFonts w:ascii="Arial" w:hAnsi="Arial" w:cs="Arial"/>
          <w:lang w:val="fr-CH"/>
        </w:rPr>
        <w:t>.</w:t>
      </w:r>
    </w:p>
    <w:p w14:paraId="5198DCC8" w14:textId="77777777" w:rsidR="00762A80" w:rsidRPr="00032181" w:rsidRDefault="00762A80" w:rsidP="00762A80">
      <w:pPr>
        <w:spacing w:before="120" w:after="0" w:line="240" w:lineRule="auto"/>
        <w:ind w:left="360"/>
        <w:jc w:val="both"/>
        <w:rPr>
          <w:rFonts w:ascii="Arial" w:hAnsi="Arial" w:cs="Arial"/>
          <w:lang w:val="fr-CH"/>
        </w:rPr>
      </w:pPr>
    </w:p>
    <w:p w14:paraId="1BB5C9DB" w14:textId="0826F26C" w:rsidR="009D039D" w:rsidRPr="009D039D" w:rsidRDefault="009D039D" w:rsidP="00762A80">
      <w:pPr>
        <w:spacing w:before="120" w:after="0" w:line="240" w:lineRule="auto"/>
        <w:jc w:val="both"/>
        <w:rPr>
          <w:rFonts w:ascii="Arial" w:hAnsi="Arial" w:cs="Arial"/>
          <w:b/>
          <w:lang w:val="fr-CH"/>
        </w:rPr>
      </w:pPr>
      <w:r w:rsidRPr="009D039D">
        <w:rPr>
          <w:rFonts w:ascii="Arial" w:hAnsi="Arial" w:cs="Arial"/>
          <w:b/>
          <w:lang w:val="fr-CH"/>
        </w:rPr>
        <w:t>Pour les engagements régi</w:t>
      </w:r>
      <w:r>
        <w:rPr>
          <w:rFonts w:ascii="Arial" w:hAnsi="Arial" w:cs="Arial"/>
          <w:b/>
          <w:lang w:val="fr-CH"/>
        </w:rPr>
        <w:t>onaux/sous-régionaux</w:t>
      </w:r>
    </w:p>
    <w:p w14:paraId="5EA3579B" w14:textId="09EB43A6" w:rsidR="00333249" w:rsidRPr="00333249" w:rsidRDefault="00333249" w:rsidP="00762A80">
      <w:pPr>
        <w:numPr>
          <w:ilvl w:val="0"/>
          <w:numId w:val="2"/>
        </w:numPr>
        <w:spacing w:before="120" w:after="0" w:line="240" w:lineRule="auto"/>
        <w:jc w:val="both"/>
        <w:rPr>
          <w:rFonts w:ascii="Arial" w:hAnsi="Arial" w:cs="Arial"/>
          <w:lang w:val="fr-CH"/>
        </w:rPr>
      </w:pPr>
      <w:r w:rsidRPr="00333249">
        <w:rPr>
          <w:rFonts w:ascii="Arial" w:hAnsi="Arial" w:cs="Arial"/>
          <w:lang w:val="fr-CH"/>
        </w:rPr>
        <w:t>Nombre d</w:t>
      </w:r>
      <w:r w:rsidR="005B47DA">
        <w:rPr>
          <w:rFonts w:ascii="Arial" w:hAnsi="Arial" w:cs="Arial"/>
          <w:lang w:val="fr-CH"/>
        </w:rPr>
        <w:t>’</w:t>
      </w:r>
      <w:r w:rsidRPr="00333249">
        <w:rPr>
          <w:rFonts w:ascii="Arial" w:hAnsi="Arial" w:cs="Arial"/>
          <w:lang w:val="fr-CH"/>
        </w:rPr>
        <w:t>instruments</w:t>
      </w:r>
      <w:r w:rsidR="005B47DA">
        <w:rPr>
          <w:rFonts w:ascii="Arial" w:hAnsi="Arial" w:cs="Arial"/>
          <w:lang w:val="fr-CH"/>
        </w:rPr>
        <w:t xml:space="preserve"> </w:t>
      </w:r>
      <w:r w:rsidRPr="00333249">
        <w:rPr>
          <w:rFonts w:ascii="Arial" w:hAnsi="Arial" w:cs="Arial"/>
          <w:lang w:val="fr-CH"/>
        </w:rPr>
        <w:t>/</w:t>
      </w:r>
      <w:r w:rsidR="005B47DA">
        <w:rPr>
          <w:rFonts w:ascii="Arial" w:hAnsi="Arial" w:cs="Arial"/>
          <w:lang w:val="fr-CH"/>
        </w:rPr>
        <w:t xml:space="preserve"> d’</w:t>
      </w:r>
      <w:r w:rsidRPr="00333249">
        <w:rPr>
          <w:rFonts w:ascii="Arial" w:hAnsi="Arial" w:cs="Arial"/>
          <w:lang w:val="fr-CH"/>
        </w:rPr>
        <w:t>a</w:t>
      </w:r>
      <w:r>
        <w:rPr>
          <w:rFonts w:ascii="Arial" w:hAnsi="Arial" w:cs="Arial"/>
          <w:lang w:val="fr-CH"/>
        </w:rPr>
        <w:t>ccords</w:t>
      </w:r>
      <w:r w:rsidR="005B47DA">
        <w:rPr>
          <w:rFonts w:ascii="Arial" w:hAnsi="Arial" w:cs="Arial"/>
          <w:lang w:val="fr-CH"/>
        </w:rPr>
        <w:t xml:space="preserve"> </w:t>
      </w:r>
      <w:r>
        <w:rPr>
          <w:rFonts w:ascii="Arial" w:hAnsi="Arial" w:cs="Arial"/>
          <w:lang w:val="fr-CH"/>
        </w:rPr>
        <w:t>/</w:t>
      </w:r>
      <w:r w:rsidR="005B47DA">
        <w:rPr>
          <w:rFonts w:ascii="Arial" w:hAnsi="Arial" w:cs="Arial"/>
          <w:lang w:val="fr-CH"/>
        </w:rPr>
        <w:t xml:space="preserve"> de </w:t>
      </w:r>
      <w:r>
        <w:rPr>
          <w:rFonts w:ascii="Arial" w:hAnsi="Arial" w:cs="Arial"/>
          <w:lang w:val="fr-CH"/>
        </w:rPr>
        <w:t>protocoles</w:t>
      </w:r>
      <w:r w:rsidR="005B47DA">
        <w:rPr>
          <w:rFonts w:ascii="Arial" w:hAnsi="Arial" w:cs="Arial"/>
          <w:lang w:val="fr-CH"/>
        </w:rPr>
        <w:t xml:space="preserve"> </w:t>
      </w:r>
      <w:r>
        <w:rPr>
          <w:rFonts w:ascii="Arial" w:hAnsi="Arial" w:cs="Arial"/>
          <w:lang w:val="fr-CH"/>
        </w:rPr>
        <w:t>/</w:t>
      </w:r>
      <w:r w:rsidR="005B47DA">
        <w:rPr>
          <w:rFonts w:ascii="Arial" w:hAnsi="Arial" w:cs="Arial"/>
          <w:lang w:val="fr-CH"/>
        </w:rPr>
        <w:t xml:space="preserve"> de </w:t>
      </w:r>
      <w:r>
        <w:rPr>
          <w:rFonts w:ascii="Arial" w:hAnsi="Arial" w:cs="Arial"/>
          <w:lang w:val="fr-CH"/>
        </w:rPr>
        <w:t xml:space="preserve">manuels régionaux relatifs à la gestion globale des risques de catastrophe </w:t>
      </w:r>
      <w:r w:rsidR="005B47DA">
        <w:rPr>
          <w:rFonts w:ascii="Arial" w:hAnsi="Arial" w:cs="Arial"/>
          <w:lang w:val="fr-CH"/>
        </w:rPr>
        <w:t xml:space="preserve">nouvellement </w:t>
      </w:r>
      <w:r>
        <w:rPr>
          <w:rFonts w:ascii="Arial" w:hAnsi="Arial" w:cs="Arial"/>
          <w:lang w:val="fr-CH"/>
        </w:rPr>
        <w:t>élaborés, adoptés, révisés ou mis à jour par les gouvernements et/ou l’organisme régional en charge de la gestion des risques de catastrophe.</w:t>
      </w:r>
    </w:p>
    <w:p w14:paraId="5C35E630" w14:textId="6A1F81CE" w:rsidR="00C82AC9" w:rsidRPr="00C82AC9" w:rsidRDefault="00C82AC9" w:rsidP="00762A80">
      <w:pPr>
        <w:numPr>
          <w:ilvl w:val="0"/>
          <w:numId w:val="2"/>
        </w:numPr>
        <w:spacing w:before="120" w:after="0" w:line="240" w:lineRule="auto"/>
        <w:jc w:val="both"/>
        <w:rPr>
          <w:rFonts w:ascii="Arial" w:hAnsi="Arial" w:cs="Arial"/>
          <w:lang w:val="fr-CH"/>
        </w:rPr>
      </w:pPr>
      <w:r w:rsidRPr="00C82AC9">
        <w:rPr>
          <w:rFonts w:ascii="Arial" w:hAnsi="Arial" w:cs="Arial"/>
          <w:lang w:val="fr-CH"/>
        </w:rPr>
        <w:t>Nombre de réunions ou d</w:t>
      </w:r>
      <w:r>
        <w:rPr>
          <w:rFonts w:ascii="Arial" w:hAnsi="Arial" w:cs="Arial"/>
          <w:lang w:val="fr-CH"/>
        </w:rPr>
        <w:t xml:space="preserve">’événements annuels </w:t>
      </w:r>
      <w:r w:rsidR="001E7FD5">
        <w:rPr>
          <w:rFonts w:ascii="Arial" w:hAnsi="Arial" w:cs="Arial"/>
          <w:lang w:val="fr-CH"/>
        </w:rPr>
        <w:t>tenus par l</w:t>
      </w:r>
      <w:r>
        <w:rPr>
          <w:rFonts w:ascii="Arial" w:hAnsi="Arial" w:cs="Arial"/>
          <w:lang w:val="fr-CH"/>
        </w:rPr>
        <w:t>es signataires de cet engagement afin de discuter des réalisations, des bonnes pratiques et des défis rencontrés pour mettre en œuv</w:t>
      </w:r>
      <w:r w:rsidR="00B44A10">
        <w:rPr>
          <w:rFonts w:ascii="Arial" w:hAnsi="Arial" w:cs="Arial"/>
          <w:lang w:val="fr-CH"/>
        </w:rPr>
        <w:t>re les mesures</w:t>
      </w:r>
      <w:r w:rsidR="006C428F">
        <w:rPr>
          <w:rFonts w:ascii="Arial" w:hAnsi="Arial" w:cs="Arial"/>
          <w:lang w:val="fr-CH"/>
        </w:rPr>
        <w:t xml:space="preserve"> convenues</w:t>
      </w:r>
      <w:r w:rsidR="00B44A10">
        <w:rPr>
          <w:rFonts w:ascii="Arial" w:hAnsi="Arial" w:cs="Arial"/>
          <w:lang w:val="fr-CH"/>
        </w:rPr>
        <w:t>.</w:t>
      </w:r>
    </w:p>
    <w:p w14:paraId="11B999F6" w14:textId="77777777" w:rsidR="00762A80" w:rsidRPr="005B47DA" w:rsidRDefault="00762A80" w:rsidP="00762A80">
      <w:pPr>
        <w:rPr>
          <w:rFonts w:ascii="Arial" w:hAnsi="Arial" w:cs="Arial"/>
          <w:b/>
          <w:bCs/>
          <w:lang w:val="fr-CH"/>
        </w:rPr>
      </w:pPr>
    </w:p>
    <w:p w14:paraId="46DD123B" w14:textId="0D1E89DA" w:rsidR="00762A80" w:rsidRPr="00B44A10" w:rsidRDefault="009D039D" w:rsidP="00762A80">
      <w:pPr>
        <w:rPr>
          <w:rFonts w:ascii="Arial" w:hAnsi="Arial" w:cs="Arial"/>
          <w:b/>
          <w:bCs/>
          <w:lang w:val="fr-CH"/>
        </w:rPr>
      </w:pPr>
      <w:r w:rsidRPr="00B44A10">
        <w:rPr>
          <w:rFonts w:ascii="Arial" w:hAnsi="Arial" w:cs="Arial"/>
          <w:b/>
          <w:bCs/>
          <w:lang w:val="fr-CH"/>
        </w:rPr>
        <w:t>D</w:t>
      </w:r>
      <w:r w:rsidR="00762A80" w:rsidRPr="00B44A10">
        <w:rPr>
          <w:rFonts w:ascii="Arial" w:hAnsi="Arial" w:cs="Arial"/>
          <w:b/>
          <w:bCs/>
          <w:lang w:val="fr-CH"/>
        </w:rPr>
        <w:t>ocuments</w:t>
      </w:r>
      <w:r w:rsidRPr="00B44A10">
        <w:rPr>
          <w:rFonts w:ascii="Arial" w:hAnsi="Arial" w:cs="Arial"/>
          <w:b/>
          <w:bCs/>
          <w:lang w:val="fr-CH"/>
        </w:rPr>
        <w:t xml:space="preserve"> de référence</w:t>
      </w:r>
    </w:p>
    <w:p w14:paraId="222B13E8" w14:textId="6DA98D40" w:rsidR="00B44A10" w:rsidRDefault="00D36B83" w:rsidP="00B44A10">
      <w:pPr>
        <w:tabs>
          <w:tab w:val="left" w:pos="8640"/>
        </w:tabs>
        <w:spacing w:after="0" w:line="240" w:lineRule="auto"/>
        <w:ind w:right="414"/>
        <w:jc w:val="both"/>
        <w:rPr>
          <w:rFonts w:asciiTheme="minorBidi" w:eastAsiaTheme="minorEastAsia" w:hAnsiTheme="minorBidi"/>
          <w:color w:val="0563C1"/>
          <w:u w:val="single"/>
          <w:lang w:val="fr-CH"/>
        </w:rPr>
      </w:pPr>
      <w:hyperlink r:id="rId17" w:history="1">
        <w:r w:rsidR="00B44A10" w:rsidRPr="00B44A10">
          <w:rPr>
            <w:rStyle w:val="Hyperlink"/>
            <w:rFonts w:asciiTheme="minorBidi" w:eastAsiaTheme="minorEastAsia" w:hAnsiTheme="minorBidi"/>
            <w:lang w:val="fr-CH"/>
          </w:rPr>
          <w:t>Résolution « Renforcer la gouvernance des risques</w:t>
        </w:r>
        <w:r w:rsidR="00B44A10">
          <w:rPr>
            <w:rStyle w:val="Hyperlink"/>
            <w:rFonts w:asciiTheme="minorBidi" w:eastAsiaTheme="minorEastAsia" w:hAnsiTheme="minorBidi"/>
            <w:lang w:val="fr-CH"/>
          </w:rPr>
          <w:t xml:space="preserve"> </w:t>
        </w:r>
        <w:r w:rsidR="00C71FC8">
          <w:rPr>
            <w:rStyle w:val="Hyperlink"/>
            <w:rFonts w:asciiTheme="minorBidi" w:eastAsiaTheme="minorEastAsia" w:hAnsiTheme="minorBidi"/>
            <w:lang w:val="fr-CH"/>
          </w:rPr>
          <w:t xml:space="preserve">de catastrophe </w:t>
        </w:r>
        <w:r w:rsidR="00B44A10">
          <w:rPr>
            <w:rStyle w:val="Hyperlink"/>
            <w:rFonts w:asciiTheme="minorBidi" w:eastAsiaTheme="minorEastAsia" w:hAnsiTheme="minorBidi"/>
            <w:lang w:val="fr-CH"/>
          </w:rPr>
          <w:t>au moyen de</w:t>
        </w:r>
        <w:r w:rsidR="00B44A10" w:rsidRPr="00B44A10">
          <w:rPr>
            <w:rStyle w:val="Hyperlink"/>
            <w:rFonts w:asciiTheme="minorBidi" w:eastAsiaTheme="minorEastAsia" w:hAnsiTheme="minorBidi"/>
            <w:lang w:val="fr-CH"/>
          </w:rPr>
          <w:t xml:space="preserve"> lois, de politiques et de plans globaux relatifs aux catastrophes</w:t>
        </w:r>
      </w:hyperlink>
    </w:p>
    <w:p w14:paraId="2CCDCDEE" w14:textId="5075165F" w:rsidR="005B47DA" w:rsidRPr="005B47DA" w:rsidRDefault="00D36B83" w:rsidP="00762A80">
      <w:pPr>
        <w:shd w:val="clear" w:color="auto" w:fill="FFFFFF" w:themeFill="background1"/>
        <w:spacing w:before="120" w:after="0" w:line="240" w:lineRule="auto"/>
        <w:jc w:val="both"/>
        <w:rPr>
          <w:rStyle w:val="Hyperlink"/>
          <w:rFonts w:ascii="Arial" w:eastAsia="Arial" w:hAnsi="Arial" w:cs="Arial"/>
          <w:lang w:val="fr-CH"/>
        </w:rPr>
      </w:pPr>
      <w:hyperlink r:id="rId18" w:history="1">
        <w:r w:rsidR="005B47DA" w:rsidRPr="005B47DA">
          <w:rPr>
            <w:rStyle w:val="Hyperlink"/>
            <w:rFonts w:ascii="Arial" w:eastAsia="Arial" w:hAnsi="Arial" w:cs="Arial"/>
            <w:lang w:val="fr-CH"/>
          </w:rPr>
          <w:t>Lignes directrices sur la gestion des risques de catastrophe | Fédération internationale</w:t>
        </w:r>
      </w:hyperlink>
    </w:p>
    <w:p w14:paraId="173AD3D3" w14:textId="5EAC8985" w:rsidR="00762A80" w:rsidRDefault="00D36B83" w:rsidP="00F82FBE">
      <w:pPr>
        <w:shd w:val="clear" w:color="auto" w:fill="FFFFFF" w:themeFill="background1"/>
        <w:spacing w:before="120" w:after="0" w:line="240" w:lineRule="auto"/>
        <w:jc w:val="both"/>
        <w:rPr>
          <w:rFonts w:ascii="Arial" w:eastAsia="Arial" w:hAnsi="Arial" w:cs="Arial"/>
          <w:lang w:val="fr-CH"/>
        </w:rPr>
      </w:pPr>
      <w:hyperlink r:id="rId19" w:history="1">
        <w:r w:rsidR="005B47DA" w:rsidRPr="00F82FBE">
          <w:rPr>
            <w:rStyle w:val="Hyperlink"/>
            <w:rFonts w:ascii="Arial" w:eastAsia="Arial" w:hAnsi="Arial" w:cs="Arial"/>
            <w:lang w:val="fr-CH"/>
          </w:rPr>
          <w:t xml:space="preserve">Manuel </w:t>
        </w:r>
        <w:r w:rsidR="00AC3BAE">
          <w:rPr>
            <w:rStyle w:val="Hyperlink"/>
            <w:rFonts w:ascii="Arial" w:eastAsia="Arial" w:hAnsi="Arial" w:cs="Arial"/>
            <w:lang w:val="fr-CH"/>
          </w:rPr>
          <w:t>sur</w:t>
        </w:r>
        <w:r w:rsidR="005B47DA" w:rsidRPr="00F82FBE">
          <w:rPr>
            <w:rStyle w:val="Hyperlink"/>
            <w:rFonts w:ascii="Arial" w:eastAsia="Arial" w:hAnsi="Arial" w:cs="Arial"/>
            <w:lang w:val="fr-CH"/>
          </w:rPr>
          <w:t xml:space="preserve"> la réforme d</w:t>
        </w:r>
        <w:r w:rsidR="00FB690C">
          <w:rPr>
            <w:rStyle w:val="Hyperlink"/>
            <w:rFonts w:ascii="Arial" w:eastAsia="Arial" w:hAnsi="Arial" w:cs="Arial"/>
            <w:lang w:val="fr-CH"/>
          </w:rPr>
          <w:t xml:space="preserve">u droit relatif </w:t>
        </w:r>
        <w:r w:rsidR="005B47DA" w:rsidRPr="00F82FBE">
          <w:rPr>
            <w:rStyle w:val="Hyperlink"/>
            <w:rFonts w:ascii="Arial" w:eastAsia="Arial" w:hAnsi="Arial" w:cs="Arial"/>
            <w:lang w:val="fr-CH"/>
          </w:rPr>
          <w:t xml:space="preserve">aux catastrophes – Guide à l’usage des </w:t>
        </w:r>
        <w:r w:rsidR="00F82FBE" w:rsidRPr="00F82FBE">
          <w:rPr>
            <w:rStyle w:val="Hyperlink"/>
            <w:rFonts w:ascii="Arial" w:eastAsia="Arial" w:hAnsi="Arial" w:cs="Arial"/>
            <w:lang w:val="fr-CH"/>
          </w:rPr>
          <w:t>autorités nationales</w:t>
        </w:r>
        <w:r w:rsidR="005B47DA" w:rsidRPr="00F82FBE">
          <w:rPr>
            <w:rStyle w:val="Hyperlink"/>
            <w:rFonts w:ascii="Arial" w:eastAsia="Arial" w:hAnsi="Arial" w:cs="Arial"/>
            <w:lang w:val="fr-CH"/>
          </w:rPr>
          <w:t xml:space="preserve"> | Fédération internationale</w:t>
        </w:r>
      </w:hyperlink>
    </w:p>
    <w:p w14:paraId="067FD73E" w14:textId="77777777" w:rsidR="00F82FBE" w:rsidRPr="00F82FBE" w:rsidRDefault="00F82FBE" w:rsidP="00F82FBE">
      <w:pPr>
        <w:shd w:val="clear" w:color="auto" w:fill="FFFFFF" w:themeFill="background1"/>
        <w:spacing w:before="120" w:after="0" w:line="240" w:lineRule="auto"/>
        <w:jc w:val="both"/>
        <w:rPr>
          <w:rFonts w:ascii="Arial" w:eastAsia="Arial" w:hAnsi="Arial" w:cs="Arial"/>
          <w:lang w:val="fr-CH"/>
        </w:rPr>
      </w:pPr>
    </w:p>
    <w:p w14:paraId="42F37F31" w14:textId="082EEE35" w:rsidR="00762A80" w:rsidRPr="009D039D" w:rsidRDefault="009D039D" w:rsidP="00762A80">
      <w:pPr>
        <w:spacing w:before="120" w:after="0" w:line="240" w:lineRule="auto"/>
        <w:rPr>
          <w:rFonts w:ascii="Arial" w:hAnsi="Arial" w:cs="Arial"/>
          <w:lang w:val="fr-CH"/>
        </w:rPr>
      </w:pPr>
      <w:r w:rsidRPr="009D039D">
        <w:rPr>
          <w:rFonts w:ascii="Arial" w:hAnsi="Arial" w:cs="Arial"/>
          <w:u w:val="single"/>
          <w:lang w:val="fr-CH"/>
        </w:rPr>
        <w:t xml:space="preserve">Pour de plus amples </w:t>
      </w:r>
      <w:r w:rsidR="00762A80" w:rsidRPr="009D039D">
        <w:rPr>
          <w:rFonts w:ascii="Arial" w:hAnsi="Arial" w:cs="Arial"/>
          <w:u w:val="single"/>
          <w:lang w:val="fr-CH"/>
        </w:rPr>
        <w:t>information</w:t>
      </w:r>
      <w:r>
        <w:rPr>
          <w:rFonts w:ascii="Arial" w:hAnsi="Arial" w:cs="Arial"/>
          <w:u w:val="single"/>
          <w:lang w:val="fr-CH"/>
        </w:rPr>
        <w:t>s</w:t>
      </w:r>
      <w:r w:rsidR="00762A80" w:rsidRPr="009D039D">
        <w:rPr>
          <w:rFonts w:ascii="Arial" w:hAnsi="Arial" w:cs="Arial"/>
          <w:u w:val="single"/>
          <w:lang w:val="fr-CH"/>
        </w:rPr>
        <w:t xml:space="preserve">, </w:t>
      </w:r>
      <w:r>
        <w:rPr>
          <w:rFonts w:ascii="Arial" w:hAnsi="Arial" w:cs="Arial"/>
          <w:u w:val="single"/>
          <w:lang w:val="fr-CH"/>
        </w:rPr>
        <w:t>veuillez</w:t>
      </w:r>
      <w:r w:rsidR="00762A80" w:rsidRPr="009D039D">
        <w:rPr>
          <w:rFonts w:ascii="Arial" w:hAnsi="Arial" w:cs="Arial"/>
          <w:u w:val="single"/>
          <w:lang w:val="fr-CH"/>
        </w:rPr>
        <w:t xml:space="preserve"> contact</w:t>
      </w:r>
      <w:r>
        <w:rPr>
          <w:rFonts w:ascii="Arial" w:hAnsi="Arial" w:cs="Arial"/>
          <w:u w:val="single"/>
          <w:lang w:val="fr-CH"/>
        </w:rPr>
        <w:t>er</w:t>
      </w:r>
      <w:r w:rsidRPr="009D039D">
        <w:rPr>
          <w:rFonts w:ascii="Arial" w:hAnsi="Arial" w:cs="Arial"/>
          <w:lang w:val="fr-CH"/>
        </w:rPr>
        <w:t xml:space="preserve"> </w:t>
      </w:r>
      <w:r w:rsidR="00762A80" w:rsidRPr="009D039D">
        <w:rPr>
          <w:rFonts w:ascii="Arial" w:hAnsi="Arial" w:cs="Arial"/>
          <w:lang w:val="fr-CH"/>
        </w:rPr>
        <w:t xml:space="preserve">: </w:t>
      </w:r>
    </w:p>
    <w:p w14:paraId="126361AE" w14:textId="4C29FCEA" w:rsidR="00762A80" w:rsidRPr="00F82FBE" w:rsidRDefault="00F82FBE" w:rsidP="00762A80">
      <w:pPr>
        <w:spacing w:after="0" w:line="240" w:lineRule="auto"/>
        <w:rPr>
          <w:rFonts w:ascii="Arial" w:hAnsi="Arial" w:cs="Arial"/>
          <w:lang w:val="fr-CH"/>
        </w:rPr>
      </w:pPr>
      <w:r w:rsidRPr="00F82FBE">
        <w:rPr>
          <w:rFonts w:ascii="Arial" w:hAnsi="Arial" w:cs="Arial"/>
          <w:lang w:val="fr-CH"/>
        </w:rPr>
        <w:t>Responsable, Droit relati</w:t>
      </w:r>
      <w:r w:rsidR="008358A0">
        <w:rPr>
          <w:rFonts w:ascii="Arial" w:hAnsi="Arial" w:cs="Arial"/>
          <w:lang w:val="fr-CH"/>
        </w:rPr>
        <w:t>f</w:t>
      </w:r>
      <w:r w:rsidRPr="00F82FBE">
        <w:rPr>
          <w:rFonts w:ascii="Arial" w:hAnsi="Arial" w:cs="Arial"/>
          <w:lang w:val="fr-CH"/>
        </w:rPr>
        <w:t xml:space="preserve"> aux c</w:t>
      </w:r>
      <w:r>
        <w:rPr>
          <w:rFonts w:ascii="Arial" w:hAnsi="Arial" w:cs="Arial"/>
          <w:lang w:val="fr-CH"/>
        </w:rPr>
        <w:t>atastrophes et rôle d’auxiliaire, Fédération internationale </w:t>
      </w:r>
      <w:r w:rsidR="00762A80" w:rsidRPr="00F82FBE">
        <w:rPr>
          <w:rFonts w:ascii="Arial" w:hAnsi="Arial" w:cs="Arial"/>
          <w:lang w:val="fr-CH"/>
        </w:rPr>
        <w:t xml:space="preserve">: </w:t>
      </w:r>
      <w:hyperlink r:id="rId20">
        <w:r w:rsidR="00762A80" w:rsidRPr="00F82FBE">
          <w:rPr>
            <w:rFonts w:ascii="Arial" w:hAnsi="Arial" w:cs="Arial"/>
            <w:color w:val="1155CC"/>
            <w:u w:val="single"/>
            <w:lang w:val="fr-CH"/>
          </w:rPr>
          <w:t>isabelle.granger@ifrc.org</w:t>
        </w:r>
      </w:hyperlink>
      <w:r w:rsidR="00762A80" w:rsidRPr="00F82FBE">
        <w:rPr>
          <w:rFonts w:ascii="Arial" w:hAnsi="Arial" w:cs="Arial"/>
          <w:lang w:val="fr-CH"/>
        </w:rPr>
        <w:t xml:space="preserve"> </w:t>
      </w:r>
    </w:p>
    <w:sectPr w:rsidR="00762A80" w:rsidRPr="00F82FBE" w:rsidSect="006D11EB">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9E26A" w14:textId="77777777" w:rsidR="000F65C9" w:rsidRDefault="000F65C9" w:rsidP="006D11EB">
      <w:pPr>
        <w:spacing w:after="0" w:line="240" w:lineRule="auto"/>
      </w:pPr>
      <w:r>
        <w:separator/>
      </w:r>
    </w:p>
  </w:endnote>
  <w:endnote w:type="continuationSeparator" w:id="0">
    <w:p w14:paraId="42E02FA1" w14:textId="77777777" w:rsidR="000F65C9" w:rsidRDefault="000F65C9" w:rsidP="006D11EB">
      <w:pPr>
        <w:spacing w:after="0" w:line="240" w:lineRule="auto"/>
      </w:pPr>
      <w:r>
        <w:continuationSeparator/>
      </w:r>
    </w:p>
  </w:endnote>
  <w:endnote w:type="continuationNotice" w:id="1">
    <w:p w14:paraId="0CAF266C" w14:textId="77777777" w:rsidR="000F65C9" w:rsidRDefault="000F6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0C62" w14:textId="0AD6963D" w:rsidR="00D90469" w:rsidRDefault="00D90469">
    <w:pPr>
      <w:pStyle w:val="Footer"/>
    </w:pPr>
    <w:r>
      <w:rPr>
        <w:noProof/>
      </w:rPr>
      <mc:AlternateContent>
        <mc:Choice Requires="wps">
          <w:drawing>
            <wp:anchor distT="0" distB="0" distL="0" distR="0" simplePos="0" relativeHeight="251658242" behindDoc="0" locked="0" layoutInCell="1" allowOverlap="1" wp14:anchorId="654E6B5D" wp14:editId="53673A61">
              <wp:simplePos x="635" y="635"/>
              <wp:positionH relativeFrom="page">
                <wp:align>left</wp:align>
              </wp:positionH>
              <wp:positionV relativeFrom="page">
                <wp:align>bottom</wp:align>
              </wp:positionV>
              <wp:extent cx="443865" cy="443865"/>
              <wp:effectExtent l="0" t="0" r="7620" b="0"/>
              <wp:wrapNone/>
              <wp:docPr id="1840882941"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81A95" w14:textId="29D0C6C8" w:rsidR="00D90469" w:rsidRPr="00D90469" w:rsidRDefault="00D90469" w:rsidP="00D90469">
                          <w:pPr>
                            <w:spacing w:after="0"/>
                            <w:rPr>
                              <w:rFonts w:ascii="Calibri" w:eastAsia="Calibri" w:hAnsi="Calibri" w:cs="Calibri"/>
                              <w:noProof/>
                              <w:color w:val="000000"/>
                              <w:sz w:val="20"/>
                              <w:szCs w:val="20"/>
                            </w:rPr>
                          </w:pPr>
                          <w:r w:rsidRPr="00D90469">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4E6B5D"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9681A95" w14:textId="29D0C6C8" w:rsidR="00D90469" w:rsidRPr="00D90469" w:rsidRDefault="00D90469" w:rsidP="00D90469">
                    <w:pPr>
                      <w:spacing w:after="0"/>
                      <w:rPr>
                        <w:rFonts w:ascii="Calibri" w:eastAsia="Calibri" w:hAnsi="Calibri" w:cs="Calibri"/>
                        <w:noProof/>
                        <w:color w:val="000000"/>
                        <w:sz w:val="20"/>
                        <w:szCs w:val="20"/>
                      </w:rPr>
                    </w:pPr>
                    <w:r w:rsidRPr="00D90469">
                      <w:rPr>
                        <w:rFonts w:ascii="Calibri" w:eastAsia="Calibri" w:hAnsi="Calibri" w:cs="Calibri"/>
                        <w:noProof/>
                        <w:color w:val="000000"/>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C52F" w14:textId="7D79530D" w:rsidR="00D90469" w:rsidRDefault="00D90469">
    <w:pPr>
      <w:pStyle w:val="Footer"/>
    </w:pPr>
    <w:r>
      <w:rPr>
        <w:noProof/>
      </w:rPr>
      <mc:AlternateContent>
        <mc:Choice Requires="wps">
          <w:drawing>
            <wp:anchor distT="0" distB="0" distL="0" distR="0" simplePos="0" relativeHeight="251658243" behindDoc="0" locked="0" layoutInCell="1" allowOverlap="1" wp14:anchorId="3274210B" wp14:editId="49892FBA">
              <wp:simplePos x="914400" y="10072468"/>
              <wp:positionH relativeFrom="page">
                <wp:align>left</wp:align>
              </wp:positionH>
              <wp:positionV relativeFrom="page">
                <wp:align>bottom</wp:align>
              </wp:positionV>
              <wp:extent cx="443865" cy="443865"/>
              <wp:effectExtent l="0" t="0" r="7620" b="0"/>
              <wp:wrapNone/>
              <wp:docPr id="1035534523"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E87C47" w14:textId="6FF460A5" w:rsidR="00D90469" w:rsidRPr="00D90469" w:rsidRDefault="00D90469" w:rsidP="00D90469">
                          <w:pPr>
                            <w:spacing w:after="0"/>
                            <w:rPr>
                              <w:rFonts w:ascii="Calibri" w:eastAsia="Calibri" w:hAnsi="Calibri" w:cs="Calibri"/>
                              <w:noProof/>
                              <w:color w:val="000000"/>
                              <w:sz w:val="20"/>
                              <w:szCs w:val="20"/>
                            </w:rPr>
                          </w:pPr>
                          <w:r w:rsidRPr="00D90469">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74210B"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6E87C47" w14:textId="6FF460A5" w:rsidR="00D90469" w:rsidRPr="00D90469" w:rsidRDefault="00D90469" w:rsidP="00D90469">
                    <w:pPr>
                      <w:spacing w:after="0"/>
                      <w:rPr>
                        <w:rFonts w:ascii="Calibri" w:eastAsia="Calibri" w:hAnsi="Calibri" w:cs="Calibri"/>
                        <w:noProof/>
                        <w:color w:val="000000"/>
                        <w:sz w:val="20"/>
                        <w:szCs w:val="20"/>
                      </w:rPr>
                    </w:pPr>
                    <w:r w:rsidRPr="00D90469">
                      <w:rPr>
                        <w:rFonts w:ascii="Calibri" w:eastAsia="Calibri" w:hAnsi="Calibri" w:cs="Calibri"/>
                        <w:noProof/>
                        <w:color w:val="000000"/>
                        <w:sz w:val="20"/>
                        <w:szCs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5CD6" w14:textId="6B28C8BC" w:rsidR="00D90469" w:rsidRDefault="00D90469">
    <w:pPr>
      <w:pStyle w:val="Footer"/>
    </w:pPr>
    <w:r>
      <w:rPr>
        <w:noProof/>
      </w:rPr>
      <mc:AlternateContent>
        <mc:Choice Requires="wps">
          <w:drawing>
            <wp:anchor distT="0" distB="0" distL="0" distR="0" simplePos="0" relativeHeight="251658241" behindDoc="0" locked="0" layoutInCell="1" allowOverlap="1" wp14:anchorId="16A9D0D5" wp14:editId="4AFC2303">
              <wp:simplePos x="635" y="635"/>
              <wp:positionH relativeFrom="page">
                <wp:align>left</wp:align>
              </wp:positionH>
              <wp:positionV relativeFrom="page">
                <wp:align>bottom</wp:align>
              </wp:positionV>
              <wp:extent cx="443865" cy="443865"/>
              <wp:effectExtent l="0" t="0" r="7620" b="0"/>
              <wp:wrapNone/>
              <wp:docPr id="524661599"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3DBF2" w14:textId="0749B29A" w:rsidR="00D90469" w:rsidRPr="00D90469" w:rsidRDefault="00D90469" w:rsidP="00D90469">
                          <w:pPr>
                            <w:spacing w:after="0"/>
                            <w:rPr>
                              <w:rFonts w:ascii="Calibri" w:eastAsia="Calibri" w:hAnsi="Calibri" w:cs="Calibri"/>
                              <w:noProof/>
                              <w:color w:val="000000"/>
                              <w:sz w:val="20"/>
                              <w:szCs w:val="20"/>
                            </w:rPr>
                          </w:pPr>
                          <w:r w:rsidRPr="00D90469">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A9D0D5" id="_x0000_t202" coordsize="21600,21600" o:spt="202" path="m,l,21600r21600,l21600,xe">
              <v:stroke joinstyle="miter"/>
              <v:path gradientshapeok="t" o:connecttype="rect"/>
            </v:shapetype>
            <v:shape id="Text Box 1" o:spid="_x0000_s1028" type="#_x0000_t202" alt="Restricted"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5F3DBF2" w14:textId="0749B29A" w:rsidR="00D90469" w:rsidRPr="00D90469" w:rsidRDefault="00D90469" w:rsidP="00D90469">
                    <w:pPr>
                      <w:spacing w:after="0"/>
                      <w:rPr>
                        <w:rFonts w:ascii="Calibri" w:eastAsia="Calibri" w:hAnsi="Calibri" w:cs="Calibri"/>
                        <w:noProof/>
                        <w:color w:val="000000"/>
                        <w:sz w:val="20"/>
                        <w:szCs w:val="20"/>
                      </w:rPr>
                    </w:pPr>
                    <w:r w:rsidRPr="00D90469">
                      <w:rPr>
                        <w:rFonts w:ascii="Calibri" w:eastAsia="Calibri" w:hAnsi="Calibri" w:cs="Calibri"/>
                        <w:noProof/>
                        <w:color w:val="000000"/>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C3ECD" w14:textId="77777777" w:rsidR="000F65C9" w:rsidRDefault="000F65C9" w:rsidP="006D11EB">
      <w:pPr>
        <w:spacing w:after="0" w:line="240" w:lineRule="auto"/>
      </w:pPr>
      <w:r>
        <w:separator/>
      </w:r>
    </w:p>
  </w:footnote>
  <w:footnote w:type="continuationSeparator" w:id="0">
    <w:p w14:paraId="7A0E8DDC" w14:textId="77777777" w:rsidR="000F65C9" w:rsidRDefault="000F65C9" w:rsidP="006D11EB">
      <w:pPr>
        <w:spacing w:after="0" w:line="240" w:lineRule="auto"/>
      </w:pPr>
      <w:r>
        <w:continuationSeparator/>
      </w:r>
    </w:p>
  </w:footnote>
  <w:footnote w:type="continuationNotice" w:id="1">
    <w:p w14:paraId="1481E5B8" w14:textId="77777777" w:rsidR="000F65C9" w:rsidRDefault="000F65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FA25" w14:textId="03892C7F" w:rsidR="000D057C" w:rsidRDefault="006D11EB">
    <w:pPr>
      <w:pStyle w:val="Header"/>
    </w:pPr>
    <w:r>
      <w:rPr>
        <w:noProof/>
        <w:lang w:eastAsia="en-GB"/>
      </w:rPr>
      <w:drawing>
        <wp:anchor distT="0" distB="0" distL="114300" distR="114300" simplePos="0" relativeHeight="251658240" behindDoc="0" locked="0" layoutInCell="1" allowOverlap="1" wp14:anchorId="64CCB5D6" wp14:editId="1C68BC52">
          <wp:simplePos x="0" y="0"/>
          <wp:positionH relativeFrom="column">
            <wp:posOffset>0</wp:posOffset>
          </wp:positionH>
          <wp:positionV relativeFrom="paragraph">
            <wp:posOffset>-635</wp:posOffset>
          </wp:positionV>
          <wp:extent cx="4362450" cy="1352550"/>
          <wp:effectExtent l="0" t="0" r="0" b="0"/>
          <wp:wrapNone/>
          <wp:docPr id="776638844" name="Picture 12021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6177" name="Graphique 12021617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62450" cy="13525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EF1B" w14:textId="26A96CFD" w:rsidR="000D057C" w:rsidRDefault="00E12DCE">
    <w:pPr>
      <w:pStyle w:val="Header"/>
    </w:pPr>
    <w:r>
      <w:rPr>
        <w:rFonts w:ascii="Noto Sans" w:hAnsi="Noto Sans" w:cs="Noto Sans"/>
        <w:b/>
        <w:noProof/>
        <w:sz w:val="26"/>
        <w:szCs w:val="26"/>
        <w:lang w:val="fr-FR" w:eastAsia="en-GB"/>
      </w:rPr>
      <w:drawing>
        <wp:inline distT="0" distB="0" distL="0" distR="0" wp14:anchorId="4CC6DD95" wp14:editId="042F7566">
          <wp:extent cx="4873521" cy="1333445"/>
          <wp:effectExtent l="0" t="0" r="3810" b="635"/>
          <wp:docPr id="171561793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17937" name="Picture 1" descr="A close up of a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2846" cy="134694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3C92" w14:textId="27A49D5C" w:rsidR="000D057C" w:rsidRDefault="000D0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232"/>
    <w:multiLevelType w:val="multilevel"/>
    <w:tmpl w:val="58960E0A"/>
    <w:lvl w:ilvl="0">
      <w:start w:val="1"/>
      <w:numFmt w:val="bullet"/>
      <w:lvlText w:val="●"/>
      <w:lvlJc w:val="left"/>
      <w:pPr>
        <w:ind w:left="360" w:hanging="360"/>
      </w:pPr>
      <w:rPr>
        <w:rFonts w:ascii="Arial" w:eastAsia="Arial" w:hAnsi="Arial" w:cs="Arial"/>
      </w:rPr>
    </w:lvl>
    <w:lvl w:ilvl="1">
      <w:start w:val="1"/>
      <w:numFmt w:val="bullet"/>
      <w:lvlText w:val="●"/>
      <w:lvlJc w:val="left"/>
      <w:pPr>
        <w:ind w:left="720" w:hanging="360"/>
      </w:pPr>
      <w:rPr>
        <w:rFonts w:ascii="Arial" w:eastAsia="Arial" w:hAnsi="Arial" w:cs="Arial"/>
      </w:rPr>
    </w:lvl>
    <w:lvl w:ilvl="2">
      <w:start w:val="1"/>
      <w:numFmt w:val="bullet"/>
      <w:lvlText w:val="o"/>
      <w:lvlJc w:val="left"/>
      <w:pPr>
        <w:ind w:left="720" w:hanging="720"/>
      </w:pPr>
      <w:rPr>
        <w:rFonts w:ascii="Courier New" w:eastAsia="Courier New" w:hAnsi="Courier New" w:cs="Courier New"/>
      </w:rPr>
    </w:lvl>
    <w:lvl w:ilvl="3">
      <w:start w:val="1"/>
      <w:numFmt w:val="decimal"/>
      <w:lvlText w:val="●.●.■.%4"/>
      <w:lvlJc w:val="left"/>
      <w:pPr>
        <w:ind w:left="720" w:hanging="720"/>
      </w:pPr>
    </w:lvl>
    <w:lvl w:ilvl="4">
      <w:start w:val="1"/>
      <w:numFmt w:val="decimal"/>
      <w:lvlText w:val="●.●.■.%4.%5"/>
      <w:lvlJc w:val="left"/>
      <w:pPr>
        <w:ind w:left="1080" w:hanging="1080"/>
      </w:pPr>
    </w:lvl>
    <w:lvl w:ilvl="5">
      <w:start w:val="1"/>
      <w:numFmt w:val="decimal"/>
      <w:lvlText w:val="●.●.■.%4.%5.%6"/>
      <w:lvlJc w:val="left"/>
      <w:pPr>
        <w:ind w:left="1080" w:hanging="1080"/>
      </w:pPr>
    </w:lvl>
    <w:lvl w:ilvl="6">
      <w:start w:val="1"/>
      <w:numFmt w:val="decimal"/>
      <w:lvlText w:val="●.●.■.%4.%5.%6.%7"/>
      <w:lvlJc w:val="left"/>
      <w:pPr>
        <w:ind w:left="1440" w:hanging="1440"/>
      </w:pPr>
    </w:lvl>
    <w:lvl w:ilvl="7">
      <w:start w:val="1"/>
      <w:numFmt w:val="decimal"/>
      <w:lvlText w:val="●.●.■.%4.%5.%6.%7.%8"/>
      <w:lvlJc w:val="left"/>
      <w:pPr>
        <w:ind w:left="1440" w:hanging="1440"/>
      </w:pPr>
    </w:lvl>
    <w:lvl w:ilvl="8">
      <w:start w:val="1"/>
      <w:numFmt w:val="decimal"/>
      <w:lvlText w:val="●.●.■.%4.%5.%6.%7.%8.%9"/>
      <w:lvlJc w:val="left"/>
      <w:pPr>
        <w:ind w:left="1800" w:hanging="1800"/>
      </w:pPr>
    </w:lvl>
  </w:abstractNum>
  <w:abstractNum w:abstractNumId="1" w15:restartNumberingAfterBreak="0">
    <w:nsid w:val="067D1EDA"/>
    <w:multiLevelType w:val="hybridMultilevel"/>
    <w:tmpl w:val="E4CABA28"/>
    <w:lvl w:ilvl="0" w:tplc="20000019">
      <w:start w:val="1"/>
      <w:numFmt w:val="lowerLetter"/>
      <w:lvlText w:val="%1."/>
      <w:lvlJc w:val="left"/>
      <w:pPr>
        <w:ind w:left="842" w:hanging="482"/>
      </w:pPr>
      <w:rPr>
        <w:rFonts w:hint="default"/>
        <w:b w:val="0"/>
        <w:color w:val="auto"/>
      </w:r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2" w15:restartNumberingAfterBreak="0">
    <w:nsid w:val="2B075F09"/>
    <w:multiLevelType w:val="hybridMultilevel"/>
    <w:tmpl w:val="E74868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C5788"/>
    <w:multiLevelType w:val="multilevel"/>
    <w:tmpl w:val="A3D80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E30D48"/>
    <w:multiLevelType w:val="multilevel"/>
    <w:tmpl w:val="8D1AA694"/>
    <w:lvl w:ilvl="0">
      <w:start w:val="1"/>
      <w:numFmt w:val="bullet"/>
      <w:lvlText w:val="●"/>
      <w:lvlJc w:val="left"/>
      <w:pPr>
        <w:ind w:left="360" w:hanging="360"/>
      </w:pPr>
      <w:rPr>
        <w:rFonts w:ascii="Arial" w:eastAsia="Arial" w:hAnsi="Arial" w:cs="Arial"/>
      </w:rPr>
    </w:lvl>
    <w:lvl w:ilvl="1">
      <w:start w:val="1"/>
      <w:numFmt w:val="bullet"/>
      <w:lvlText w:val="●"/>
      <w:lvlJc w:val="left"/>
      <w:pPr>
        <w:ind w:left="720" w:hanging="360"/>
      </w:pPr>
      <w:rPr>
        <w:rFonts w:ascii="Arial" w:eastAsia="Arial" w:hAnsi="Arial" w:cs="Arial"/>
      </w:rPr>
    </w:lvl>
    <w:lvl w:ilvl="2">
      <w:start w:val="1"/>
      <w:numFmt w:val="bullet"/>
      <w:lvlText w:val="■"/>
      <w:lvlJc w:val="left"/>
      <w:pPr>
        <w:ind w:left="720" w:hanging="720"/>
      </w:pPr>
    </w:lvl>
    <w:lvl w:ilvl="3">
      <w:start w:val="1"/>
      <w:numFmt w:val="decimal"/>
      <w:lvlText w:val="●.●.■.%4"/>
      <w:lvlJc w:val="left"/>
      <w:pPr>
        <w:ind w:left="720" w:hanging="720"/>
      </w:pPr>
    </w:lvl>
    <w:lvl w:ilvl="4">
      <w:start w:val="1"/>
      <w:numFmt w:val="decimal"/>
      <w:lvlText w:val="●.●.■.%4.%5"/>
      <w:lvlJc w:val="left"/>
      <w:pPr>
        <w:ind w:left="1080" w:hanging="1080"/>
      </w:pPr>
    </w:lvl>
    <w:lvl w:ilvl="5">
      <w:start w:val="1"/>
      <w:numFmt w:val="decimal"/>
      <w:lvlText w:val="●.●.■.%4.%5.%6"/>
      <w:lvlJc w:val="left"/>
      <w:pPr>
        <w:ind w:left="1080" w:hanging="1080"/>
      </w:pPr>
    </w:lvl>
    <w:lvl w:ilvl="6">
      <w:start w:val="1"/>
      <w:numFmt w:val="decimal"/>
      <w:lvlText w:val="●.●.■.%4.%5.%6.%7"/>
      <w:lvlJc w:val="left"/>
      <w:pPr>
        <w:ind w:left="1440" w:hanging="1440"/>
      </w:pPr>
    </w:lvl>
    <w:lvl w:ilvl="7">
      <w:start w:val="1"/>
      <w:numFmt w:val="decimal"/>
      <w:lvlText w:val="●.●.■.%4.%5.%6.%7.%8"/>
      <w:lvlJc w:val="left"/>
      <w:pPr>
        <w:ind w:left="1440" w:hanging="1440"/>
      </w:pPr>
    </w:lvl>
    <w:lvl w:ilvl="8">
      <w:start w:val="1"/>
      <w:numFmt w:val="decimal"/>
      <w:lvlText w:val="●.●.■.%4.%5.%6.%7.%8.%9"/>
      <w:lvlJc w:val="left"/>
      <w:pPr>
        <w:ind w:left="1800" w:hanging="1800"/>
      </w:pPr>
    </w:lvl>
  </w:abstractNum>
  <w:abstractNum w:abstractNumId="5" w15:restartNumberingAfterBreak="0">
    <w:nsid w:val="5CDB757E"/>
    <w:multiLevelType w:val="hybridMultilevel"/>
    <w:tmpl w:val="E7486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1713F9"/>
    <w:multiLevelType w:val="hybridMultilevel"/>
    <w:tmpl w:val="7624A98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EE0881"/>
    <w:multiLevelType w:val="hybridMultilevel"/>
    <w:tmpl w:val="4156ED7A"/>
    <w:lvl w:ilvl="0" w:tplc="E0CCB726">
      <w:start w:val="1"/>
      <w:numFmt w:val="decimal"/>
      <w:lvlText w:val="%1."/>
      <w:lvlJc w:val="left"/>
      <w:pPr>
        <w:ind w:left="720" w:hanging="360"/>
      </w:pPr>
      <w:rPr>
        <w:rFonts w:asciiTheme="majorHAnsi" w:hAnsiTheme="majorHAnsi" w:cstheme="majorHAnsi" w:hint="default"/>
        <w:b/>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3706C10"/>
    <w:multiLevelType w:val="multilevel"/>
    <w:tmpl w:val="C1EAE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C52F7F"/>
    <w:multiLevelType w:val="hybridMultilevel"/>
    <w:tmpl w:val="9BBADD3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318992796">
    <w:abstractNumId w:val="9"/>
  </w:num>
  <w:num w:numId="2" w16cid:durableId="415591164">
    <w:abstractNumId w:val="4"/>
  </w:num>
  <w:num w:numId="3" w16cid:durableId="1458377845">
    <w:abstractNumId w:val="0"/>
  </w:num>
  <w:num w:numId="4" w16cid:durableId="1858080434">
    <w:abstractNumId w:val="8"/>
  </w:num>
  <w:num w:numId="5" w16cid:durableId="1550876609">
    <w:abstractNumId w:val="3"/>
  </w:num>
  <w:num w:numId="6" w16cid:durableId="1175651359">
    <w:abstractNumId w:val="6"/>
  </w:num>
  <w:num w:numId="7" w16cid:durableId="274218126">
    <w:abstractNumId w:val="5"/>
  </w:num>
  <w:num w:numId="8" w16cid:durableId="2368162">
    <w:abstractNumId w:val="7"/>
  </w:num>
  <w:num w:numId="9" w16cid:durableId="1281837688">
    <w:abstractNumId w:val="1"/>
  </w:num>
  <w:num w:numId="10" w16cid:durableId="93081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EB"/>
    <w:rsid w:val="00007D5A"/>
    <w:rsid w:val="0001333D"/>
    <w:rsid w:val="00032181"/>
    <w:rsid w:val="000543B3"/>
    <w:rsid w:val="000726BE"/>
    <w:rsid w:val="000A3AB7"/>
    <w:rsid w:val="000B004E"/>
    <w:rsid w:val="000B460B"/>
    <w:rsid w:val="000D057C"/>
    <w:rsid w:val="000F00AA"/>
    <w:rsid w:val="000F65C9"/>
    <w:rsid w:val="00101461"/>
    <w:rsid w:val="001031AB"/>
    <w:rsid w:val="00110065"/>
    <w:rsid w:val="0012031A"/>
    <w:rsid w:val="00150FEB"/>
    <w:rsid w:val="00151697"/>
    <w:rsid w:val="0015323B"/>
    <w:rsid w:val="00170066"/>
    <w:rsid w:val="00185A14"/>
    <w:rsid w:val="00185E99"/>
    <w:rsid w:val="00191C1F"/>
    <w:rsid w:val="001A27EE"/>
    <w:rsid w:val="001A4328"/>
    <w:rsid w:val="001B05FE"/>
    <w:rsid w:val="001E7FD5"/>
    <w:rsid w:val="001F5F8E"/>
    <w:rsid w:val="001F7974"/>
    <w:rsid w:val="002103E5"/>
    <w:rsid w:val="0023594C"/>
    <w:rsid w:val="002409D9"/>
    <w:rsid w:val="00243AD7"/>
    <w:rsid w:val="002502BF"/>
    <w:rsid w:val="00263F34"/>
    <w:rsid w:val="0028416A"/>
    <w:rsid w:val="002A094C"/>
    <w:rsid w:val="002A185D"/>
    <w:rsid w:val="002A382D"/>
    <w:rsid w:val="002A5250"/>
    <w:rsid w:val="002D187C"/>
    <w:rsid w:val="002D19C8"/>
    <w:rsid w:val="002D1D78"/>
    <w:rsid w:val="002D62A0"/>
    <w:rsid w:val="002F0F46"/>
    <w:rsid w:val="002F40B0"/>
    <w:rsid w:val="002F4711"/>
    <w:rsid w:val="002F6633"/>
    <w:rsid w:val="00302BDD"/>
    <w:rsid w:val="00313503"/>
    <w:rsid w:val="00324166"/>
    <w:rsid w:val="00333249"/>
    <w:rsid w:val="0034392E"/>
    <w:rsid w:val="00347DFD"/>
    <w:rsid w:val="0035589E"/>
    <w:rsid w:val="00360106"/>
    <w:rsid w:val="00365560"/>
    <w:rsid w:val="00375735"/>
    <w:rsid w:val="003818BD"/>
    <w:rsid w:val="003953D1"/>
    <w:rsid w:val="00395BBB"/>
    <w:rsid w:val="003A156A"/>
    <w:rsid w:val="003A179D"/>
    <w:rsid w:val="003C6980"/>
    <w:rsid w:val="003C6F94"/>
    <w:rsid w:val="003F2997"/>
    <w:rsid w:val="00402234"/>
    <w:rsid w:val="004056FE"/>
    <w:rsid w:val="00434E47"/>
    <w:rsid w:val="004562A8"/>
    <w:rsid w:val="0045716D"/>
    <w:rsid w:val="004575FB"/>
    <w:rsid w:val="00462904"/>
    <w:rsid w:val="00476172"/>
    <w:rsid w:val="00477377"/>
    <w:rsid w:val="004B131E"/>
    <w:rsid w:val="004C053F"/>
    <w:rsid w:val="004C77E2"/>
    <w:rsid w:val="004D3F52"/>
    <w:rsid w:val="004E4347"/>
    <w:rsid w:val="005276FF"/>
    <w:rsid w:val="00534150"/>
    <w:rsid w:val="00540DAC"/>
    <w:rsid w:val="00541CB8"/>
    <w:rsid w:val="005424A2"/>
    <w:rsid w:val="005570E7"/>
    <w:rsid w:val="0056363B"/>
    <w:rsid w:val="00571EA5"/>
    <w:rsid w:val="00575426"/>
    <w:rsid w:val="005764E7"/>
    <w:rsid w:val="00596ED3"/>
    <w:rsid w:val="005B2428"/>
    <w:rsid w:val="005B47DA"/>
    <w:rsid w:val="005B51D7"/>
    <w:rsid w:val="005C3169"/>
    <w:rsid w:val="005D5946"/>
    <w:rsid w:val="005D6E12"/>
    <w:rsid w:val="005E0EF1"/>
    <w:rsid w:val="005E4CAF"/>
    <w:rsid w:val="00610A91"/>
    <w:rsid w:val="006135EF"/>
    <w:rsid w:val="00615493"/>
    <w:rsid w:val="0062216A"/>
    <w:rsid w:val="006225B9"/>
    <w:rsid w:val="006373B9"/>
    <w:rsid w:val="00637892"/>
    <w:rsid w:val="00637EDD"/>
    <w:rsid w:val="006420C3"/>
    <w:rsid w:val="00646900"/>
    <w:rsid w:val="006505E0"/>
    <w:rsid w:val="006722C3"/>
    <w:rsid w:val="006A0E7C"/>
    <w:rsid w:val="006A6B8E"/>
    <w:rsid w:val="006A79DF"/>
    <w:rsid w:val="006B0573"/>
    <w:rsid w:val="006B3C16"/>
    <w:rsid w:val="006B59B7"/>
    <w:rsid w:val="006C428F"/>
    <w:rsid w:val="006D05A8"/>
    <w:rsid w:val="006D11EB"/>
    <w:rsid w:val="006D1B1B"/>
    <w:rsid w:val="006E6072"/>
    <w:rsid w:val="006F1007"/>
    <w:rsid w:val="006F49DA"/>
    <w:rsid w:val="00703E6B"/>
    <w:rsid w:val="00712594"/>
    <w:rsid w:val="0073061E"/>
    <w:rsid w:val="00762A80"/>
    <w:rsid w:val="007635ED"/>
    <w:rsid w:val="00763FC4"/>
    <w:rsid w:val="00770127"/>
    <w:rsid w:val="007734EB"/>
    <w:rsid w:val="007750F2"/>
    <w:rsid w:val="00781307"/>
    <w:rsid w:val="007B1C6D"/>
    <w:rsid w:val="007C007B"/>
    <w:rsid w:val="007D5455"/>
    <w:rsid w:val="007E00BF"/>
    <w:rsid w:val="007E1543"/>
    <w:rsid w:val="00804B18"/>
    <w:rsid w:val="00815D7A"/>
    <w:rsid w:val="00820E63"/>
    <w:rsid w:val="008261D1"/>
    <w:rsid w:val="008358A0"/>
    <w:rsid w:val="00835E06"/>
    <w:rsid w:val="008402BD"/>
    <w:rsid w:val="0084239D"/>
    <w:rsid w:val="00846DE8"/>
    <w:rsid w:val="00863052"/>
    <w:rsid w:val="00870AC1"/>
    <w:rsid w:val="00876660"/>
    <w:rsid w:val="00876A62"/>
    <w:rsid w:val="008771C9"/>
    <w:rsid w:val="008955B3"/>
    <w:rsid w:val="008A1C36"/>
    <w:rsid w:val="008A49DA"/>
    <w:rsid w:val="008A782D"/>
    <w:rsid w:val="008C5C26"/>
    <w:rsid w:val="008D4821"/>
    <w:rsid w:val="008D4C5D"/>
    <w:rsid w:val="008E01D4"/>
    <w:rsid w:val="008E5743"/>
    <w:rsid w:val="0090434B"/>
    <w:rsid w:val="00907F1E"/>
    <w:rsid w:val="00912018"/>
    <w:rsid w:val="00915CD3"/>
    <w:rsid w:val="0092499B"/>
    <w:rsid w:val="0094639F"/>
    <w:rsid w:val="0094673B"/>
    <w:rsid w:val="009665C8"/>
    <w:rsid w:val="00972913"/>
    <w:rsid w:val="00976459"/>
    <w:rsid w:val="00983547"/>
    <w:rsid w:val="00985D29"/>
    <w:rsid w:val="00997DDF"/>
    <w:rsid w:val="009A02D5"/>
    <w:rsid w:val="009B1A0A"/>
    <w:rsid w:val="009C0B02"/>
    <w:rsid w:val="009D039D"/>
    <w:rsid w:val="009F1AE8"/>
    <w:rsid w:val="00A005E2"/>
    <w:rsid w:val="00A0124C"/>
    <w:rsid w:val="00A161AB"/>
    <w:rsid w:val="00A20156"/>
    <w:rsid w:val="00A26153"/>
    <w:rsid w:val="00A26561"/>
    <w:rsid w:val="00A44A1A"/>
    <w:rsid w:val="00A7656E"/>
    <w:rsid w:val="00A8186F"/>
    <w:rsid w:val="00A9559E"/>
    <w:rsid w:val="00AA3C4B"/>
    <w:rsid w:val="00AB2BCE"/>
    <w:rsid w:val="00AC1308"/>
    <w:rsid w:val="00AC3BAE"/>
    <w:rsid w:val="00AC6C7D"/>
    <w:rsid w:val="00AC6FC3"/>
    <w:rsid w:val="00AE118E"/>
    <w:rsid w:val="00AF7FB0"/>
    <w:rsid w:val="00B033CD"/>
    <w:rsid w:val="00B053A1"/>
    <w:rsid w:val="00B06294"/>
    <w:rsid w:val="00B11CC6"/>
    <w:rsid w:val="00B2016A"/>
    <w:rsid w:val="00B24058"/>
    <w:rsid w:val="00B316F2"/>
    <w:rsid w:val="00B365FA"/>
    <w:rsid w:val="00B449EF"/>
    <w:rsid w:val="00B44A10"/>
    <w:rsid w:val="00B7136E"/>
    <w:rsid w:val="00B732EA"/>
    <w:rsid w:val="00B74598"/>
    <w:rsid w:val="00B906F4"/>
    <w:rsid w:val="00B9389B"/>
    <w:rsid w:val="00B9507B"/>
    <w:rsid w:val="00B95D52"/>
    <w:rsid w:val="00BA3AF1"/>
    <w:rsid w:val="00BC11FF"/>
    <w:rsid w:val="00BC2A5E"/>
    <w:rsid w:val="00BD05B4"/>
    <w:rsid w:val="00BD35D3"/>
    <w:rsid w:val="00C0C0FA"/>
    <w:rsid w:val="00C66A9E"/>
    <w:rsid w:val="00C71FC8"/>
    <w:rsid w:val="00C77A13"/>
    <w:rsid w:val="00C82AC9"/>
    <w:rsid w:val="00CB0058"/>
    <w:rsid w:val="00CB6D1C"/>
    <w:rsid w:val="00CC1F76"/>
    <w:rsid w:val="00CD7396"/>
    <w:rsid w:val="00CE4A34"/>
    <w:rsid w:val="00CF0723"/>
    <w:rsid w:val="00CF0F2E"/>
    <w:rsid w:val="00D01B82"/>
    <w:rsid w:val="00D02D48"/>
    <w:rsid w:val="00D2008D"/>
    <w:rsid w:val="00D24CC7"/>
    <w:rsid w:val="00D26B02"/>
    <w:rsid w:val="00D33D0A"/>
    <w:rsid w:val="00D36B83"/>
    <w:rsid w:val="00D60518"/>
    <w:rsid w:val="00D640F4"/>
    <w:rsid w:val="00D90323"/>
    <w:rsid w:val="00D90469"/>
    <w:rsid w:val="00D93669"/>
    <w:rsid w:val="00DA0BD5"/>
    <w:rsid w:val="00DC1C51"/>
    <w:rsid w:val="00DF4373"/>
    <w:rsid w:val="00E02594"/>
    <w:rsid w:val="00E03B22"/>
    <w:rsid w:val="00E049BA"/>
    <w:rsid w:val="00E12DCE"/>
    <w:rsid w:val="00E1695E"/>
    <w:rsid w:val="00E21817"/>
    <w:rsid w:val="00E34934"/>
    <w:rsid w:val="00E52B92"/>
    <w:rsid w:val="00E71915"/>
    <w:rsid w:val="00E74948"/>
    <w:rsid w:val="00E82709"/>
    <w:rsid w:val="00E95E42"/>
    <w:rsid w:val="00E9621B"/>
    <w:rsid w:val="00E96760"/>
    <w:rsid w:val="00EA5BAD"/>
    <w:rsid w:val="00EE34B6"/>
    <w:rsid w:val="00EE3D75"/>
    <w:rsid w:val="00EE4C8B"/>
    <w:rsid w:val="00F06EE1"/>
    <w:rsid w:val="00F103DB"/>
    <w:rsid w:val="00F14BD5"/>
    <w:rsid w:val="00F21171"/>
    <w:rsid w:val="00F236B9"/>
    <w:rsid w:val="00F3557E"/>
    <w:rsid w:val="00F40F99"/>
    <w:rsid w:val="00F60D55"/>
    <w:rsid w:val="00F82FBE"/>
    <w:rsid w:val="00FA0CCF"/>
    <w:rsid w:val="00FA1A03"/>
    <w:rsid w:val="00FA6432"/>
    <w:rsid w:val="00FA736D"/>
    <w:rsid w:val="00FB26A7"/>
    <w:rsid w:val="00FB4878"/>
    <w:rsid w:val="00FB690C"/>
    <w:rsid w:val="00FB7152"/>
    <w:rsid w:val="00FC0579"/>
    <w:rsid w:val="00FD4296"/>
    <w:rsid w:val="00FE27B4"/>
    <w:rsid w:val="00FF314B"/>
    <w:rsid w:val="00FF4F13"/>
    <w:rsid w:val="0176A2D2"/>
    <w:rsid w:val="01E5681A"/>
    <w:rsid w:val="0212AB74"/>
    <w:rsid w:val="024D07DF"/>
    <w:rsid w:val="027D5E1C"/>
    <w:rsid w:val="02D96D08"/>
    <w:rsid w:val="03D737BF"/>
    <w:rsid w:val="05047E7B"/>
    <w:rsid w:val="06E69369"/>
    <w:rsid w:val="07DE1414"/>
    <w:rsid w:val="088CE626"/>
    <w:rsid w:val="09A6B3CA"/>
    <w:rsid w:val="0A4A599C"/>
    <w:rsid w:val="0B0101D3"/>
    <w:rsid w:val="0B7DAF58"/>
    <w:rsid w:val="0BF9286D"/>
    <w:rsid w:val="0C1CB9B8"/>
    <w:rsid w:val="0C22CC7B"/>
    <w:rsid w:val="0C33186E"/>
    <w:rsid w:val="0C6F20D4"/>
    <w:rsid w:val="0CB6253C"/>
    <w:rsid w:val="0CBFCFD5"/>
    <w:rsid w:val="0D1E326B"/>
    <w:rsid w:val="0D5E46F6"/>
    <w:rsid w:val="0D6ACBF0"/>
    <w:rsid w:val="0D77467D"/>
    <w:rsid w:val="0DDB0E91"/>
    <w:rsid w:val="0F0A80AC"/>
    <w:rsid w:val="0F4A9853"/>
    <w:rsid w:val="0F8264EA"/>
    <w:rsid w:val="1002CA1D"/>
    <w:rsid w:val="101792D0"/>
    <w:rsid w:val="105C1072"/>
    <w:rsid w:val="1116B5EA"/>
    <w:rsid w:val="133BCC79"/>
    <w:rsid w:val="14467A99"/>
    <w:rsid w:val="14545673"/>
    <w:rsid w:val="1488317F"/>
    <w:rsid w:val="1609D6F7"/>
    <w:rsid w:val="1632AC20"/>
    <w:rsid w:val="16681D87"/>
    <w:rsid w:val="174D0D24"/>
    <w:rsid w:val="1786A847"/>
    <w:rsid w:val="17A9D729"/>
    <w:rsid w:val="17DE5ADD"/>
    <w:rsid w:val="1847ED4A"/>
    <w:rsid w:val="18940A30"/>
    <w:rsid w:val="19A3B7DE"/>
    <w:rsid w:val="1A302252"/>
    <w:rsid w:val="1A50E203"/>
    <w:rsid w:val="1B2594C4"/>
    <w:rsid w:val="1B31900A"/>
    <w:rsid w:val="1BE74141"/>
    <w:rsid w:val="1BEC8AB1"/>
    <w:rsid w:val="1BF9620D"/>
    <w:rsid w:val="1CD50F3D"/>
    <w:rsid w:val="1D83823C"/>
    <w:rsid w:val="1DAABFD5"/>
    <w:rsid w:val="1DE7DE65"/>
    <w:rsid w:val="1DEE50BC"/>
    <w:rsid w:val="1F8036F7"/>
    <w:rsid w:val="1F9B590D"/>
    <w:rsid w:val="1FCD3728"/>
    <w:rsid w:val="1FFC79E8"/>
    <w:rsid w:val="204BFDB8"/>
    <w:rsid w:val="2113852F"/>
    <w:rsid w:val="21667AD1"/>
    <w:rsid w:val="21DB56B7"/>
    <w:rsid w:val="23C12EAC"/>
    <w:rsid w:val="24CFF78B"/>
    <w:rsid w:val="24DBE007"/>
    <w:rsid w:val="250D06E7"/>
    <w:rsid w:val="25233659"/>
    <w:rsid w:val="270925B7"/>
    <w:rsid w:val="274CD09A"/>
    <w:rsid w:val="2769A7C1"/>
    <w:rsid w:val="2811F19F"/>
    <w:rsid w:val="28944305"/>
    <w:rsid w:val="29AA71D5"/>
    <w:rsid w:val="29B27E27"/>
    <w:rsid w:val="2BA7DE1B"/>
    <w:rsid w:val="2C0A264D"/>
    <w:rsid w:val="2C0E97AA"/>
    <w:rsid w:val="2C768955"/>
    <w:rsid w:val="2D405641"/>
    <w:rsid w:val="2DBA753B"/>
    <w:rsid w:val="2DBF6C82"/>
    <w:rsid w:val="2DCCB50E"/>
    <w:rsid w:val="2E7397A0"/>
    <w:rsid w:val="2EE930A3"/>
    <w:rsid w:val="2F041F28"/>
    <w:rsid w:val="2F50F759"/>
    <w:rsid w:val="2F818DCF"/>
    <w:rsid w:val="2FA8DEC3"/>
    <w:rsid w:val="2FD07268"/>
    <w:rsid w:val="30713F4F"/>
    <w:rsid w:val="307801C2"/>
    <w:rsid w:val="31EB0470"/>
    <w:rsid w:val="326EEE9F"/>
    <w:rsid w:val="329B8262"/>
    <w:rsid w:val="33B52A8A"/>
    <w:rsid w:val="34800877"/>
    <w:rsid w:val="34B424BD"/>
    <w:rsid w:val="34E2ED0C"/>
    <w:rsid w:val="34F55081"/>
    <w:rsid w:val="356C181F"/>
    <w:rsid w:val="35C975BD"/>
    <w:rsid w:val="365583BB"/>
    <w:rsid w:val="36601B20"/>
    <w:rsid w:val="37214C3C"/>
    <w:rsid w:val="3741B9C7"/>
    <w:rsid w:val="3A275374"/>
    <w:rsid w:val="3CECB650"/>
    <w:rsid w:val="3D376301"/>
    <w:rsid w:val="3DD706E9"/>
    <w:rsid w:val="3E0E7390"/>
    <w:rsid w:val="3EC1C92A"/>
    <w:rsid w:val="3F50FFAE"/>
    <w:rsid w:val="3FEC5219"/>
    <w:rsid w:val="40587BB3"/>
    <w:rsid w:val="4059597F"/>
    <w:rsid w:val="40E2E821"/>
    <w:rsid w:val="40E36494"/>
    <w:rsid w:val="415EC1FB"/>
    <w:rsid w:val="4187B618"/>
    <w:rsid w:val="41AB463A"/>
    <w:rsid w:val="426FD8FD"/>
    <w:rsid w:val="429D4558"/>
    <w:rsid w:val="439FEBE7"/>
    <w:rsid w:val="443D8F20"/>
    <w:rsid w:val="44760A82"/>
    <w:rsid w:val="4494F6F3"/>
    <w:rsid w:val="44BB64AD"/>
    <w:rsid w:val="45042576"/>
    <w:rsid w:val="45563BA4"/>
    <w:rsid w:val="45897DDF"/>
    <w:rsid w:val="458E46C8"/>
    <w:rsid w:val="45D22DEE"/>
    <w:rsid w:val="45F361B0"/>
    <w:rsid w:val="46206361"/>
    <w:rsid w:val="462BC09C"/>
    <w:rsid w:val="469070A9"/>
    <w:rsid w:val="4732725E"/>
    <w:rsid w:val="47BEC126"/>
    <w:rsid w:val="4802CF79"/>
    <w:rsid w:val="48167F80"/>
    <w:rsid w:val="48D70EA4"/>
    <w:rsid w:val="4959D425"/>
    <w:rsid w:val="499DC67C"/>
    <w:rsid w:val="49A7A429"/>
    <w:rsid w:val="4A38AC8A"/>
    <w:rsid w:val="4AFF5D6F"/>
    <w:rsid w:val="4B3F6752"/>
    <w:rsid w:val="4B7E9AE6"/>
    <w:rsid w:val="4B936996"/>
    <w:rsid w:val="4C1C7899"/>
    <w:rsid w:val="4C2CDDC4"/>
    <w:rsid w:val="4D0F47D0"/>
    <w:rsid w:val="4E7A283E"/>
    <w:rsid w:val="5111F6BA"/>
    <w:rsid w:val="51958381"/>
    <w:rsid w:val="51B0F014"/>
    <w:rsid w:val="51EF6F51"/>
    <w:rsid w:val="5267AD6A"/>
    <w:rsid w:val="52DBB1F8"/>
    <w:rsid w:val="53992EB6"/>
    <w:rsid w:val="54D9E9A0"/>
    <w:rsid w:val="54F8E28E"/>
    <w:rsid w:val="54FF99DA"/>
    <w:rsid w:val="5504B059"/>
    <w:rsid w:val="58E4D211"/>
    <w:rsid w:val="5B6AC7B7"/>
    <w:rsid w:val="5C74074C"/>
    <w:rsid w:val="5DD3D135"/>
    <w:rsid w:val="5E252BDD"/>
    <w:rsid w:val="5F32F10E"/>
    <w:rsid w:val="5F6F8EB8"/>
    <w:rsid w:val="5F83F0C6"/>
    <w:rsid w:val="5FB35525"/>
    <w:rsid w:val="6249EDAA"/>
    <w:rsid w:val="625C8F65"/>
    <w:rsid w:val="6293BB59"/>
    <w:rsid w:val="62B1E538"/>
    <w:rsid w:val="6304A0E6"/>
    <w:rsid w:val="6363DA04"/>
    <w:rsid w:val="649F5C2C"/>
    <w:rsid w:val="65B42DA4"/>
    <w:rsid w:val="665886FB"/>
    <w:rsid w:val="669EAE43"/>
    <w:rsid w:val="66F79046"/>
    <w:rsid w:val="66FB957D"/>
    <w:rsid w:val="67E84278"/>
    <w:rsid w:val="6A4FC168"/>
    <w:rsid w:val="6AC38E5E"/>
    <w:rsid w:val="6B0B8D9C"/>
    <w:rsid w:val="6C8124D3"/>
    <w:rsid w:val="6CBE3B0A"/>
    <w:rsid w:val="6CD4EF05"/>
    <w:rsid w:val="6D110871"/>
    <w:rsid w:val="6DB6650A"/>
    <w:rsid w:val="6DC7DFF1"/>
    <w:rsid w:val="6ECB3AAF"/>
    <w:rsid w:val="6ED519F6"/>
    <w:rsid w:val="6FD088BB"/>
    <w:rsid w:val="7083CC88"/>
    <w:rsid w:val="70FC5E9A"/>
    <w:rsid w:val="712EB949"/>
    <w:rsid w:val="72E8E511"/>
    <w:rsid w:val="7338100E"/>
    <w:rsid w:val="73882D09"/>
    <w:rsid w:val="7393B12B"/>
    <w:rsid w:val="7397A156"/>
    <w:rsid w:val="7484A87A"/>
    <w:rsid w:val="749C9F08"/>
    <w:rsid w:val="74E7DE60"/>
    <w:rsid w:val="751C4976"/>
    <w:rsid w:val="754CE237"/>
    <w:rsid w:val="760A0BFD"/>
    <w:rsid w:val="76145275"/>
    <w:rsid w:val="76A20902"/>
    <w:rsid w:val="78EA8CB1"/>
    <w:rsid w:val="79912A42"/>
    <w:rsid w:val="7A6F6EC5"/>
    <w:rsid w:val="7AE60BF1"/>
    <w:rsid w:val="7B0F458E"/>
    <w:rsid w:val="7B2644C2"/>
    <w:rsid w:val="7B53CF3A"/>
    <w:rsid w:val="7C0399E4"/>
    <w:rsid w:val="7C0AFF78"/>
    <w:rsid w:val="7C28115F"/>
    <w:rsid w:val="7C5015C4"/>
    <w:rsid w:val="7CAD849B"/>
    <w:rsid w:val="7D2646E1"/>
    <w:rsid w:val="7DCED35A"/>
    <w:rsid w:val="7DECDB98"/>
    <w:rsid w:val="7E258DF9"/>
    <w:rsid w:val="7E41EEF8"/>
    <w:rsid w:val="7E46D7BA"/>
    <w:rsid w:val="7EF3CB19"/>
    <w:rsid w:val="7F92D77D"/>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4A884"/>
  <w15:chartTrackingRefBased/>
  <w15:docId w15:val="{E10C97D7-E1CB-474E-99D9-D4C98C3E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1EB"/>
    <w:pPr>
      <w:ind w:left="720"/>
      <w:contextualSpacing/>
    </w:pPr>
    <w:rPr>
      <w:rFonts w:ascii="Calibri" w:eastAsia="Calibri" w:hAnsi="Calibri" w:cs="Calibri"/>
      <w:kern w:val="0"/>
      <w:lang w:eastAsia="en-AU"/>
      <w14:ligatures w14:val="none"/>
    </w:rPr>
  </w:style>
  <w:style w:type="paragraph" w:styleId="Header">
    <w:name w:val="header"/>
    <w:basedOn w:val="Normal"/>
    <w:link w:val="HeaderChar"/>
    <w:uiPriority w:val="99"/>
    <w:unhideWhenUsed/>
    <w:rsid w:val="006D1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1EB"/>
  </w:style>
  <w:style w:type="paragraph" w:styleId="Footer">
    <w:name w:val="footer"/>
    <w:basedOn w:val="Normal"/>
    <w:link w:val="FooterChar"/>
    <w:uiPriority w:val="99"/>
    <w:unhideWhenUsed/>
    <w:rsid w:val="006D1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1EB"/>
  </w:style>
  <w:style w:type="paragraph" w:styleId="FootnoteText">
    <w:name w:val="footnote text"/>
    <w:basedOn w:val="Normal"/>
    <w:link w:val="FootnoteTextChar"/>
    <w:rsid w:val="00D90469"/>
    <w:pPr>
      <w:spacing w:after="60" w:line="240" w:lineRule="auto"/>
      <w:jc w:val="both"/>
    </w:pPr>
    <w:rPr>
      <w:rFonts w:ascii="Arial" w:hAnsi="Arial"/>
      <w:kern w:val="0"/>
      <w:sz w:val="16"/>
      <w:szCs w:val="20"/>
      <w14:ligatures w14:val="none"/>
    </w:rPr>
  </w:style>
  <w:style w:type="character" w:customStyle="1" w:styleId="FootnoteTextChar">
    <w:name w:val="Footnote Text Char"/>
    <w:basedOn w:val="DefaultParagraphFont"/>
    <w:link w:val="FootnoteText"/>
    <w:rsid w:val="00D90469"/>
    <w:rPr>
      <w:rFonts w:ascii="Arial" w:hAnsi="Arial"/>
      <w:kern w:val="0"/>
      <w:sz w:val="16"/>
      <w:szCs w:val="20"/>
      <w14:ligatures w14:val="none"/>
    </w:rPr>
  </w:style>
  <w:style w:type="character" w:styleId="FootnoteReference">
    <w:name w:val="footnote reference"/>
    <w:basedOn w:val="DefaultParagraphFont"/>
    <w:uiPriority w:val="99"/>
    <w:semiHidden/>
    <w:unhideWhenUsed/>
    <w:rsid w:val="00D90469"/>
    <w:rPr>
      <w:vertAlign w:val="superscript"/>
    </w:rPr>
  </w:style>
  <w:style w:type="character" w:styleId="Hyperlink">
    <w:name w:val="Hyperlink"/>
    <w:basedOn w:val="DefaultParagraphFont"/>
    <w:uiPriority w:val="99"/>
    <w:unhideWhenUsed/>
    <w:rsid w:val="00D90469"/>
    <w:rPr>
      <w:color w:val="0563C1" w:themeColor="hyperlink"/>
      <w:u w:val="single"/>
    </w:rPr>
  </w:style>
  <w:style w:type="character" w:styleId="IntenseReference">
    <w:name w:val="Intense Reference"/>
    <w:basedOn w:val="DefaultParagraphFont"/>
    <w:uiPriority w:val="32"/>
    <w:qFormat/>
    <w:rsid w:val="00E74948"/>
    <w:rPr>
      <w:b/>
      <w:bCs/>
      <w:smallCaps/>
      <w:color w:val="4472C4" w:themeColor="accent1"/>
      <w:spacing w:val="5"/>
    </w:rPr>
  </w:style>
  <w:style w:type="character" w:styleId="CommentReference">
    <w:name w:val="annotation reference"/>
    <w:basedOn w:val="DefaultParagraphFont"/>
    <w:uiPriority w:val="99"/>
    <w:semiHidden/>
    <w:unhideWhenUsed/>
    <w:rsid w:val="002A094C"/>
    <w:rPr>
      <w:sz w:val="16"/>
      <w:szCs w:val="16"/>
    </w:rPr>
  </w:style>
  <w:style w:type="paragraph" w:styleId="CommentText">
    <w:name w:val="annotation text"/>
    <w:basedOn w:val="Normal"/>
    <w:link w:val="CommentTextChar"/>
    <w:uiPriority w:val="99"/>
    <w:unhideWhenUsed/>
    <w:rsid w:val="002A094C"/>
    <w:pPr>
      <w:spacing w:line="240" w:lineRule="auto"/>
    </w:pPr>
    <w:rPr>
      <w:sz w:val="20"/>
      <w:szCs w:val="20"/>
    </w:rPr>
  </w:style>
  <w:style w:type="character" w:customStyle="1" w:styleId="CommentTextChar">
    <w:name w:val="Comment Text Char"/>
    <w:basedOn w:val="DefaultParagraphFont"/>
    <w:link w:val="CommentText"/>
    <w:uiPriority w:val="99"/>
    <w:rsid w:val="002A094C"/>
    <w:rPr>
      <w:sz w:val="20"/>
      <w:szCs w:val="20"/>
    </w:rPr>
  </w:style>
  <w:style w:type="paragraph" w:styleId="CommentSubject">
    <w:name w:val="annotation subject"/>
    <w:basedOn w:val="CommentText"/>
    <w:next w:val="CommentText"/>
    <w:link w:val="CommentSubjectChar"/>
    <w:uiPriority w:val="99"/>
    <w:semiHidden/>
    <w:unhideWhenUsed/>
    <w:rsid w:val="002A094C"/>
    <w:rPr>
      <w:b/>
      <w:bCs/>
    </w:rPr>
  </w:style>
  <w:style w:type="character" w:customStyle="1" w:styleId="CommentSubjectChar">
    <w:name w:val="Comment Subject Char"/>
    <w:basedOn w:val="CommentTextChar"/>
    <w:link w:val="CommentSubject"/>
    <w:uiPriority w:val="99"/>
    <w:semiHidden/>
    <w:rsid w:val="002A094C"/>
    <w:rPr>
      <w:b/>
      <w:bCs/>
      <w:sz w:val="20"/>
      <w:szCs w:val="20"/>
    </w:rPr>
  </w:style>
  <w:style w:type="character" w:styleId="UnresolvedMention">
    <w:name w:val="Unresolved Mention"/>
    <w:basedOn w:val="DefaultParagraphFont"/>
    <w:uiPriority w:val="99"/>
    <w:semiHidden/>
    <w:unhideWhenUsed/>
    <w:rsid w:val="006D1B1B"/>
    <w:rPr>
      <w:color w:val="605E5C"/>
      <w:shd w:val="clear" w:color="auto" w:fill="E1DFDD"/>
    </w:rPr>
  </w:style>
  <w:style w:type="paragraph" w:styleId="Revision">
    <w:name w:val="Revision"/>
    <w:hidden/>
    <w:uiPriority w:val="99"/>
    <w:semiHidden/>
    <w:rsid w:val="00324166"/>
    <w:pPr>
      <w:spacing w:after="0" w:line="240" w:lineRule="auto"/>
    </w:pPr>
  </w:style>
  <w:style w:type="character" w:styleId="FollowedHyperlink">
    <w:name w:val="FollowedHyperlink"/>
    <w:basedOn w:val="DefaultParagraphFont"/>
    <w:uiPriority w:val="99"/>
    <w:semiHidden/>
    <w:unhideWhenUsed/>
    <w:rsid w:val="00B44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5510">
      <w:bodyDiv w:val="1"/>
      <w:marLeft w:val="0"/>
      <w:marRight w:val="0"/>
      <w:marTop w:val="0"/>
      <w:marBottom w:val="0"/>
      <w:divBdr>
        <w:top w:val="none" w:sz="0" w:space="0" w:color="auto"/>
        <w:left w:val="none" w:sz="0" w:space="0" w:color="auto"/>
        <w:bottom w:val="none" w:sz="0" w:space="0" w:color="auto"/>
        <w:right w:val="none" w:sz="0" w:space="0" w:color="auto"/>
      </w:divBdr>
    </w:div>
    <w:div w:id="15893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isasterlaw.ifrc.org/fr/pilotguideline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crcconference.org/fr/about-4/34th-international-conference/documents-34th-international-conference/" TargetMode="External"/><Relationship Id="rId2" Type="http://schemas.openxmlformats.org/officeDocument/2006/relationships/customXml" Target="../customXml/item2.xml"/><Relationship Id="rId16" Type="http://schemas.openxmlformats.org/officeDocument/2006/relationships/hyperlink" Target="https://disasterlaw.ifrc.org/fr/pilotguidelines" TargetMode="External"/><Relationship Id="rId20" Type="http://schemas.openxmlformats.org/officeDocument/2006/relationships/hyperlink" Target="mailto:isabelle.granger@ifr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sasterlaw.ifrc.org/media/42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988bcc-216d-4c68-a0cd-417358c81203" xsi:nil="true"/>
    <lcf76f155ced4ddcb4097134ff3c332f xmlns="6be9d52c-0e59-4906-b725-6ee576ebff1d">
      <Terms xmlns="http://schemas.microsoft.com/office/infopath/2007/PartnerControls"/>
    </lcf76f155ced4ddcb4097134ff3c332f>
    <RequestID xmlns="6be9d52c-0e59-4906-b725-6ee576ebff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7EBD2B1C90D1449AB303A16AF0852D" ma:contentTypeVersion="19" ma:contentTypeDescription="Crée un document." ma:contentTypeScope="" ma:versionID="ec9b64aca3f91ad887e687478aa17353">
  <xsd:schema xmlns:xsd="http://www.w3.org/2001/XMLSchema" xmlns:xs="http://www.w3.org/2001/XMLSchema" xmlns:p="http://schemas.microsoft.com/office/2006/metadata/properties" xmlns:ns2="6be9d52c-0e59-4906-b725-6ee576ebff1d" xmlns:ns3="26988bcc-216d-4c68-a0cd-417358c81203" targetNamespace="http://schemas.microsoft.com/office/2006/metadata/properties" ma:root="true" ma:fieldsID="d2781aa9a20d16c71e8e54dae3d2d06f" ns2:_="" ns3:_="">
    <xsd:import namespace="6be9d52c-0e59-4906-b725-6ee576ebff1d"/>
    <xsd:import namespace="26988bcc-216d-4c68-a0cd-417358c81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questID"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d52c-0e59-4906-b725-6ee576eb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questID" ma:index="18" nillable="true" ma:displayName="RequestID" ma:internalName="RequestI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88bcc-216d-4c68-a0cd-417358c8120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ef2fb5b-53ec-41e1-87a7-8d82855348e6}" ma:internalName="TaxCatchAll" ma:showField="CatchAllData" ma:web="26988bcc-216d-4c68-a0cd-417358c81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95094-984D-4DDC-BC78-B81394A1CF87}">
  <ds:schemaRefs>
    <ds:schemaRef ds:uri="http://schemas.microsoft.com/sharepoint/v3/contenttype/forms"/>
  </ds:schemaRefs>
</ds:datastoreItem>
</file>

<file path=customXml/itemProps2.xml><?xml version="1.0" encoding="utf-8"?>
<ds:datastoreItem xmlns:ds="http://schemas.openxmlformats.org/officeDocument/2006/customXml" ds:itemID="{768E8633-5275-4705-B17A-A750DDE9F04F}">
  <ds:schemaRefs>
    <ds:schemaRef ds:uri="http://schemas.openxmlformats.org/officeDocument/2006/bibliography"/>
  </ds:schemaRefs>
</ds:datastoreItem>
</file>

<file path=customXml/itemProps3.xml><?xml version="1.0" encoding="utf-8"?>
<ds:datastoreItem xmlns:ds="http://schemas.openxmlformats.org/officeDocument/2006/customXml" ds:itemID="{3C2A137E-C9BF-474F-9107-8BB0C0C771B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be9d52c-0e59-4906-b725-6ee576ebff1d"/>
    <ds:schemaRef ds:uri="http://purl.org/dc/terms/"/>
    <ds:schemaRef ds:uri="26988bcc-216d-4c68-a0cd-417358c81203"/>
    <ds:schemaRef ds:uri="http://www.w3.org/XML/1998/namespace"/>
  </ds:schemaRefs>
</ds:datastoreItem>
</file>

<file path=customXml/itemProps4.xml><?xml version="1.0" encoding="utf-8"?>
<ds:datastoreItem xmlns:ds="http://schemas.openxmlformats.org/officeDocument/2006/customXml" ds:itemID="{318C4969-3FA0-4669-8DD6-B2F600AF6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d52c-0e59-4906-b725-6ee576ebff1d"/>
    <ds:schemaRef ds:uri="26988bcc-216d-4c68-a0cd-417358c81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7952</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Jeanique Serradinho</dc:creator>
  <cp:keywords/>
  <dc:description/>
  <cp:lastModifiedBy>Eva Zanardi</cp:lastModifiedBy>
  <cp:revision>2</cp:revision>
  <dcterms:created xsi:type="dcterms:W3CDTF">2024-09-30T12:55:00Z</dcterms:created>
  <dcterms:modified xsi:type="dcterms:W3CDTF">2024-09-30T12:55:00Z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1f45b35f,6db9a4fd,3db900bb</vt:lpwstr>
  </property>
  <property fmtid="{D5CDD505-2E9C-101B-9397-08002B2CF9AE}" pid="3" name="ClassificationContentMarkingFooterFontProps">
    <vt:lpwstr>#000000,10,Calibri</vt:lpwstr>
  </property>
  <property fmtid="{D5CDD505-2E9C-101B-9397-08002B2CF9AE}" pid="4" name="ClassificationContentMarkingFooterText">
    <vt:lpwstr>Restricted</vt:lpwstr>
  </property>
  <property fmtid="{D5CDD505-2E9C-101B-9397-08002B2CF9AE}" pid="5" name="MSIP_Label_60843f49-ba84-4571-b1b5-bbf501ecdde5_Enabled">
    <vt:lpwstr>true</vt:lpwstr>
  </property>
  <property fmtid="{D5CDD505-2E9C-101B-9397-08002B2CF9AE}" pid="6" name="MSIP_Label_60843f49-ba84-4571-b1b5-bbf501ecdde5_SetDate">
    <vt:lpwstr>2024-05-13T07:23:39Z</vt:lpwstr>
  </property>
  <property fmtid="{D5CDD505-2E9C-101B-9397-08002B2CF9AE}" pid="7" name="MSIP_Label_60843f49-ba84-4571-b1b5-bbf501ecdde5_Method">
    <vt:lpwstr>Privileged</vt:lpwstr>
  </property>
  <property fmtid="{D5CDD505-2E9C-101B-9397-08002B2CF9AE}" pid="8" name="MSIP_Label_60843f49-ba84-4571-b1b5-bbf501ecdde5_Name">
    <vt:lpwstr>Red Cross - Red Crescent Internal</vt:lpwstr>
  </property>
  <property fmtid="{D5CDD505-2E9C-101B-9397-08002B2CF9AE}" pid="9" name="MSIP_Label_60843f49-ba84-4571-b1b5-bbf501ecdde5_SiteId">
    <vt:lpwstr>a2b53be5-734e-4e6c-ab0d-d184f60fd917</vt:lpwstr>
  </property>
  <property fmtid="{D5CDD505-2E9C-101B-9397-08002B2CF9AE}" pid="10" name="MSIP_Label_60843f49-ba84-4571-b1b5-bbf501ecdde5_ActionId">
    <vt:lpwstr>13a61c7a-a888-44cb-bb0b-041b89f04deb</vt:lpwstr>
  </property>
  <property fmtid="{D5CDD505-2E9C-101B-9397-08002B2CF9AE}" pid="11" name="MSIP_Label_60843f49-ba84-4571-b1b5-bbf501ecdde5_ContentBits">
    <vt:lpwstr>2</vt:lpwstr>
  </property>
  <property fmtid="{D5CDD505-2E9C-101B-9397-08002B2CF9AE}" pid="12" name="ContentTypeId">
    <vt:lpwstr>0x010100847EBD2B1C90D1449AB303A16AF0852D</vt:lpwstr>
  </property>
  <property fmtid="{D5CDD505-2E9C-101B-9397-08002B2CF9AE}" pid="13" name="MediaServiceImageTags">
    <vt:lpwstr/>
  </property>
</Properties>
</file>