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p>
    <w:p>
      <w:pPr>
        <w:pStyle w:val="DefaultText"/>
        <w:pBdr>
          <w:top w:val="single" w:sz="6" w:space="7" w:color="auto"/>
          <w:left w:val="single" w:sz="6" w:space="7" w:color="auto"/>
          <w:bottom w:val="single" w:sz="6" w:space="7" w:color="auto"/>
          <w:right w:val="single" w:sz="6" w:space="7" w:color="auto"/>
        </w:pBdr>
        <w:tabs>
          <w:tab w:val="left" w:pos="2100"/>
          <w:tab w:val="center" w:pos="4536"/>
        </w:tabs>
        <w:spacing w:after="240"/>
        <w:jc w:val="center"/>
        <w:rPr>
          <w:rFonts w:ascii="Arial" w:hAnsi="Arial" w:cs="Arial"/>
          <w:b/>
          <w:sz w:val="22"/>
          <w:szCs w:val="22"/>
        </w:rPr>
      </w:pPr>
      <w:r>
        <w:rPr>
          <w:rFonts w:ascii="Arial" w:hAnsi="Arial" w:cs="Arial"/>
          <w:b/>
          <w:sz w:val="22"/>
          <w:szCs w:val="22"/>
        </w:rPr>
        <w:t>Model Pledge</w:t>
      </w:r>
    </w:p>
    <w:p>
      <w:pPr>
        <w:pStyle w:val="Heading1"/>
      </w:pPr>
      <w:r>
        <w:t>Protecting the Natural Environment in Armed Conflicts</w:t>
      </w:r>
    </w:p>
    <w:p>
      <w:pPr>
        <w:rPr>
          <w:b/>
          <w:bCs/>
        </w:rPr>
      </w:pPr>
    </w:p>
    <w:p>
      <w:r>
        <w:rPr>
          <w:b/>
          <w:bCs/>
        </w:rPr>
        <w:t>Proposed by</w:t>
      </w:r>
      <w:r>
        <w:t>: International Committee of the Red Cross (ICRC)</w:t>
      </w:r>
    </w:p>
    <w:p>
      <w:r>
        <w:rPr>
          <w:b/>
          <w:bCs/>
        </w:rPr>
        <w:t>Contacts:</w:t>
      </w:r>
      <w:r>
        <w:t xml:space="preserve"> Helen Obregón Gieseken, Vanessa Murphy</w:t>
      </w:r>
    </w:p>
    <w:p>
      <w:pPr>
        <w:rPr>
          <w:b/>
          <w:bCs/>
        </w:rPr>
      </w:pPr>
      <w:r>
        <w:rPr>
          <w:b/>
          <w:bCs/>
        </w:rPr>
        <w:t xml:space="preserve">Email: </w:t>
      </w:r>
      <w:hyperlink r:id="rId13" w:history="1">
        <w:r>
          <w:rPr>
            <w:rStyle w:val="Hyperlink"/>
          </w:rPr>
          <w:t>hobregon@icrc.org</w:t>
        </w:r>
      </w:hyperlink>
      <w:r>
        <w:t xml:space="preserve">, </w:t>
      </w:r>
      <w:hyperlink r:id="rId14" w:history="1">
        <w:r>
          <w:rPr>
            <w:rStyle w:val="Hyperlink"/>
          </w:rPr>
          <w:t>vmurphy@icrc.org</w:t>
        </w:r>
      </w:hyperlink>
      <w:r>
        <w:rPr>
          <w:b/>
          <w:bCs/>
        </w:rPr>
        <w:t xml:space="preserve"> </w:t>
      </w:r>
    </w:p>
    <w:p/>
    <w:p>
      <w:pPr>
        <w:jc w:val="both"/>
        <w:rPr>
          <w:i/>
          <w:iCs/>
          <w:color w:val="4472C4" w:themeColor="accent1"/>
        </w:rPr>
      </w:pPr>
      <w:r>
        <w:rPr>
          <w:i/>
          <w:iCs/>
          <w:color w:val="4472C4" w:themeColor="accent1"/>
        </w:rPr>
        <w:t xml:space="preserve">Note: </w:t>
      </w:r>
      <w:bookmarkStart w:id="0" w:name="_Hlk165889021"/>
      <w:r>
        <w:rPr>
          <w:i/>
          <w:iCs/>
          <w:color w:val="4472C4" w:themeColor="accent1"/>
        </w:rPr>
        <w:t xml:space="preserve">This model pledge offers an array of potential actions that States, National Societies and observers can choose to make their priority commitments. It gives a list of examples, which are not intended to be adopted in full. The proposed actions can be prioritized and adapted to the relevant national context. </w:t>
      </w:r>
    </w:p>
    <w:bookmarkEnd w:id="0"/>
    <w:p/>
    <w:p>
      <w:pPr>
        <w:pStyle w:val="Heading2"/>
        <w:rPr>
          <w:lang w:val="en-GB"/>
        </w:rPr>
      </w:pPr>
      <w:r>
        <w:rPr>
          <w:lang w:val="en-GB"/>
        </w:rPr>
        <w:t xml:space="preserve">A. Objective/introduction of the model text </w:t>
      </w:r>
    </w:p>
    <w:p>
      <w:pPr>
        <w:spacing w:line="276" w:lineRule="auto"/>
        <w:jc w:val="both"/>
        <w:rPr>
          <w:rFonts w:cstheme="minorHAnsi"/>
        </w:rPr>
      </w:pPr>
      <w:r>
        <w:rPr>
          <w:rFonts w:cstheme="minorHAnsi"/>
        </w:rPr>
        <w:t xml:space="preserve">The natural environment has too often remained a silent casualty of war. The consequences of environmental damage for conflict-affected populations are severe, complex and compounded by increasing climate risks. </w:t>
      </w:r>
      <w:r>
        <w:rPr>
          <w:rFonts w:eastAsia="Times New Roman" w:cstheme="minorHAnsi"/>
          <w:lang w:eastAsia="fr-CH"/>
        </w:rPr>
        <w:t xml:space="preserve">The ICRC’s 2020 </w:t>
      </w:r>
      <w:hyperlink r:id="rId15" w:history="1">
        <w:r>
          <w:rPr>
            <w:rStyle w:val="Hyperlink"/>
            <w:rFonts w:cstheme="minorHAnsi"/>
          </w:rPr>
          <w:t>Guidelines on the Protection of the Natural Environment in Armed Conflict</w:t>
        </w:r>
      </w:hyperlink>
      <w:r>
        <w:rPr>
          <w:rFonts w:cstheme="minorHAnsi"/>
        </w:rPr>
        <w:t xml:space="preserve"> set out obligations of international humanitarian law </w:t>
      </w:r>
      <w:r>
        <w:rPr>
          <w:rFonts w:eastAsia="Times New Roman" w:cstheme="minorHAnsi"/>
          <w:lang w:eastAsia="fr-CH"/>
        </w:rPr>
        <w:t xml:space="preserve">(IHL) that fix legal limits on the damage that warring parties can inflict on the natural environment, </w:t>
      </w:r>
      <w:r>
        <w:rPr>
          <w:rFonts w:cstheme="minorHAnsi"/>
        </w:rPr>
        <w:t xml:space="preserve">with the aim of supporting the incorporation of these rules in national law, policy and practice. Broader in scope, the International Law Commission’s </w:t>
      </w:r>
      <w:hyperlink r:id="rId16" w:history="1">
        <w:r>
          <w:rPr>
            <w:rStyle w:val="Hyperlink"/>
            <w:rFonts w:cstheme="minorHAnsi"/>
          </w:rPr>
          <w:t>Principles on Protection of the Environment in Relation to Armed Conflicts</w:t>
        </w:r>
      </w:hyperlink>
      <w:r>
        <w:rPr>
          <w:rFonts w:cstheme="minorHAnsi"/>
        </w:rPr>
        <w:t xml:space="preserve"> clarify and develop international law on this topic, reiterating key IHL obligations and drawing on other branches of international law.</w:t>
      </w:r>
    </w:p>
    <w:p>
      <w:pPr>
        <w:jc w:val="both"/>
        <w:rPr>
          <w:rFonts w:cstheme="minorHAnsi"/>
          <w:iCs/>
        </w:rPr>
      </w:pPr>
      <w:r>
        <w:rPr>
          <w:rFonts w:cstheme="minorHAnsi"/>
          <w:iCs/>
        </w:rPr>
        <w:t xml:space="preserve">The objectives of this pledge are to advance national implementation of IHL and enhance wartime environmental protection. The pledge is linked to the 34th International Conference’s Commission I, entitled “Building a Global Culture of Respect for IHL”, and its spotlight session “Protection of the natural environment in armed conflicts”. It is also linked to the spotlight session on reducing climate change’s impacts on communities, and to the Climate and Environment Charter for Humanitarian Organizations’ </w:t>
      </w:r>
      <w:hyperlink r:id="rId17" w:history="1">
        <w:r>
          <w:rPr>
            <w:rStyle w:val="Hyperlink"/>
            <w:rFonts w:cstheme="minorHAnsi"/>
            <w:iCs/>
          </w:rPr>
          <w:t>Commitment 6</w:t>
        </w:r>
      </w:hyperlink>
      <w:r>
        <w:rPr>
          <w:rFonts w:cstheme="minorHAnsi"/>
          <w:iCs/>
        </w:rPr>
        <w:t xml:space="preserve"> regarding the implementation of international law, including IHL.</w:t>
      </w:r>
    </w:p>
    <w:p>
      <w:pPr>
        <w:jc w:val="both"/>
      </w:pPr>
      <w:r>
        <w:t xml:space="preserve">This </w:t>
      </w:r>
      <w:r>
        <w:rPr>
          <w:rFonts w:cstheme="minorHAnsi"/>
        </w:rPr>
        <w:t xml:space="preserve">document provides a set of potential pledge commitments that might be used in individual or joint pledges by conference members and observers. These are inspired by and based on previous conference pledges and on examples of good practices shared by government representatives at the 2023 State Expert Meeting on IHL Protecting the Natural Environment in Armed Conflicts, organized by Switzerland and the ICRC, which are presented together in the </w:t>
      </w:r>
      <w:hyperlink r:id="rId18" w:history="1">
        <w:r>
          <w:rPr>
            <w:rStyle w:val="Hyperlink"/>
          </w:rPr>
          <w:t>chair’s sum</w:t>
        </w:r>
        <w:r>
          <w:rPr>
            <w:rStyle w:val="Hyperlink"/>
          </w:rPr>
          <w:t>m</w:t>
        </w:r>
        <w:r>
          <w:rPr>
            <w:rStyle w:val="Hyperlink"/>
          </w:rPr>
          <w:t>ary report</w:t>
        </w:r>
      </w:hyperlink>
      <w:r>
        <w:t xml:space="preserve">. </w:t>
      </w:r>
    </w:p>
    <w:p>
      <w:pPr>
        <w:pStyle w:val="Heading2"/>
        <w:rPr>
          <w:lang w:val="en-GB"/>
        </w:rPr>
      </w:pPr>
      <w:r>
        <w:rPr>
          <w:lang w:val="en-GB"/>
        </w:rPr>
        <w:lastRenderedPageBreak/>
        <w:t xml:space="preserve">B. Actions to be </w:t>
      </w:r>
      <w:proofErr w:type="gramStart"/>
      <w:r>
        <w:rPr>
          <w:lang w:val="en-GB"/>
        </w:rPr>
        <w:t>considered</w:t>
      </w:r>
      <w:proofErr w:type="gramEnd"/>
    </w:p>
    <w:p>
      <w:r>
        <w:t>The National Red Cross or Red Crescent Society/State/observer or the State and National Society together is/are encouraged to choose actions from the list below that best correspond to their individual situation and priorities.</w:t>
      </w:r>
    </w:p>
    <w:p>
      <w:pPr>
        <w:pStyle w:val="ListParagraph"/>
        <w:numPr>
          <w:ilvl w:val="0"/>
          <w:numId w:val="8"/>
        </w:numPr>
        <w:jc w:val="both"/>
        <w:rPr>
          <w:rFonts w:eastAsia="Times New Roman" w:cstheme="minorHAnsi"/>
          <w:b/>
          <w:bCs/>
          <w:iCs/>
          <w:lang w:val="en-GB"/>
        </w:rPr>
      </w:pPr>
      <w:r>
        <w:rPr>
          <w:rFonts w:eastAsia="Times New Roman" w:cstheme="minorHAnsi"/>
          <w:b/>
          <w:bCs/>
          <w:iCs/>
          <w:lang w:val="en-GB"/>
        </w:rPr>
        <w:t>Integrate IHL rules protecting the natural environment into national legal and administrative frameworks and disseminate them to national authorities and the general population. To do so:</w:t>
      </w:r>
    </w:p>
    <w:p>
      <w:pPr>
        <w:pStyle w:val="ListParagraph"/>
        <w:numPr>
          <w:ilvl w:val="1"/>
          <w:numId w:val="8"/>
        </w:numPr>
        <w:jc w:val="both"/>
        <w:rPr>
          <w:rFonts w:eastAsia="Times New Roman" w:cstheme="minorHAnsi"/>
          <w:iCs/>
          <w:lang w:val="en-GB"/>
        </w:rPr>
      </w:pPr>
      <w:r>
        <w:rPr>
          <w:rFonts w:eastAsia="Times New Roman" w:cstheme="minorHAnsi"/>
          <w:iCs/>
          <w:lang w:val="en-GB"/>
        </w:rPr>
        <w:t>take steps towards acceding to international treaties that provide protection for the environment in armed conflicts (e.g. Additional Protocol I to the Geneva Conventions; the Convention on the Prohibition of Military or Any Other Hostile Use of Environmental Modification Techniques, and/or the African Convention on the Conservation of Nature)</w:t>
      </w:r>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analyse the domestic legal system to determine which areas of legislation need to be supplemented or amended to bring domestic law into line with international </w:t>
      </w:r>
      <w:proofErr w:type="gramStart"/>
      <w:r>
        <w:rPr>
          <w:rFonts w:eastAsia="Times New Roman" w:cstheme="minorHAnsi"/>
          <w:iCs/>
          <w:lang w:val="en-GB"/>
        </w:rPr>
        <w:t>obligations</w:t>
      </w:r>
      <w:proofErr w:type="gramEnd"/>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adopt legislative, administrative and practical measures, or modify existing ones, and ensure that the institutional framework is in place to implement international obligations. For instance, the following steps could be taken: </w:t>
      </w:r>
    </w:p>
    <w:p>
      <w:pPr>
        <w:pStyle w:val="ListParagraph"/>
        <w:numPr>
          <w:ilvl w:val="2"/>
          <w:numId w:val="8"/>
        </w:numPr>
        <w:jc w:val="both"/>
        <w:rPr>
          <w:rFonts w:eastAsia="Times New Roman" w:cstheme="minorHAnsi"/>
          <w:iCs/>
          <w:lang w:val="en-GB"/>
        </w:rPr>
      </w:pPr>
      <w:r>
        <w:rPr>
          <w:rFonts w:eastAsia="Times New Roman" w:cstheme="minorHAnsi"/>
          <w:iCs/>
          <w:lang w:val="en-GB"/>
        </w:rPr>
        <w:t xml:space="preserve">clarify how peacetime environmental legislation, policies or regulations apply to armed forces’ activities during armed conflicts, including </w:t>
      </w:r>
      <w:proofErr w:type="gramStart"/>
      <w:r>
        <w:rPr>
          <w:rFonts w:eastAsia="Times New Roman" w:cstheme="minorHAnsi"/>
          <w:iCs/>
          <w:lang w:val="en-GB"/>
        </w:rPr>
        <w:t>extraterritorially</w:t>
      </w:r>
      <w:proofErr w:type="gramEnd"/>
      <w:r>
        <w:rPr>
          <w:rFonts w:eastAsia="Times New Roman" w:cstheme="minorHAnsi"/>
          <w:iCs/>
          <w:lang w:val="en-GB"/>
        </w:rPr>
        <w:t xml:space="preserve"> </w:t>
      </w:r>
    </w:p>
    <w:p>
      <w:pPr>
        <w:pStyle w:val="ListParagraph"/>
        <w:numPr>
          <w:ilvl w:val="2"/>
          <w:numId w:val="8"/>
        </w:numPr>
        <w:jc w:val="both"/>
        <w:rPr>
          <w:rFonts w:eastAsia="Times New Roman" w:cstheme="minorHAnsi"/>
          <w:iCs/>
          <w:lang w:val="en-GB"/>
        </w:rPr>
      </w:pPr>
      <w:r>
        <w:rPr>
          <w:rFonts w:eastAsia="Times New Roman" w:cstheme="minorHAnsi"/>
          <w:iCs/>
          <w:lang w:val="en-GB"/>
        </w:rPr>
        <w:t xml:space="preserve">introduce regulations to eliminate or mitigate environmental damage in the testing, use or destruction of military </w:t>
      </w:r>
      <w:proofErr w:type="gramStart"/>
      <w:r>
        <w:rPr>
          <w:rFonts w:eastAsia="Times New Roman" w:cstheme="minorHAnsi"/>
          <w:iCs/>
          <w:lang w:val="en-GB"/>
        </w:rPr>
        <w:t>equipment</w:t>
      </w:r>
      <w:proofErr w:type="gramEnd"/>
      <w:r>
        <w:rPr>
          <w:rFonts w:eastAsia="Times New Roman" w:cstheme="minorHAnsi"/>
          <w:iCs/>
          <w:lang w:val="en-GB"/>
        </w:rPr>
        <w:t xml:space="preserve"> </w:t>
      </w:r>
    </w:p>
    <w:p>
      <w:pPr>
        <w:pStyle w:val="ListParagraph"/>
        <w:numPr>
          <w:ilvl w:val="2"/>
          <w:numId w:val="8"/>
        </w:numPr>
        <w:jc w:val="both"/>
        <w:rPr>
          <w:rFonts w:eastAsia="Times New Roman" w:cstheme="minorHAnsi"/>
          <w:iCs/>
          <w:lang w:val="en-GB"/>
        </w:rPr>
      </w:pPr>
      <w:r>
        <w:rPr>
          <w:rFonts w:eastAsia="Times New Roman" w:cstheme="minorHAnsi"/>
          <w:iCs/>
          <w:lang w:val="en-GB"/>
        </w:rPr>
        <w:t xml:space="preserve">institute appropriate penal legislation and sanctions for war crimes and other international crimes that concern the environment in armed </w:t>
      </w:r>
      <w:proofErr w:type="gramStart"/>
      <w:r>
        <w:rPr>
          <w:rFonts w:eastAsia="Times New Roman" w:cstheme="minorHAnsi"/>
          <w:iCs/>
          <w:lang w:val="en-GB"/>
        </w:rPr>
        <w:t>conflict</w:t>
      </w:r>
      <w:proofErr w:type="gramEnd"/>
    </w:p>
    <w:p>
      <w:pPr>
        <w:pStyle w:val="ListParagraph"/>
        <w:numPr>
          <w:ilvl w:val="2"/>
          <w:numId w:val="8"/>
        </w:numPr>
        <w:jc w:val="both"/>
        <w:rPr>
          <w:rFonts w:eastAsia="Times New Roman" w:cstheme="minorHAnsi"/>
          <w:iCs/>
          <w:lang w:val="en-GB"/>
        </w:rPr>
      </w:pPr>
      <w:r>
        <w:rPr>
          <w:rFonts w:eastAsia="Times New Roman" w:cstheme="minorHAnsi"/>
          <w:iCs/>
          <w:lang w:val="en-GB"/>
        </w:rPr>
        <w:t xml:space="preserve">establish monitoring capabilities to assess environmental damage resulting from military operations (e.g. use dedicated databases or data sheets to collect, share and analyse information on the environmental impacts of military activities, products or services) </w:t>
      </w:r>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task national IHL committees or similar entities with advising and assisting national authorities in their efforts to implement IHL rules that protect the natural environment and to spread knowledge about </w:t>
      </w:r>
      <w:proofErr w:type="gramStart"/>
      <w:r>
        <w:rPr>
          <w:rFonts w:eastAsia="Times New Roman" w:cstheme="minorHAnsi"/>
          <w:iCs/>
          <w:lang w:val="en-GB"/>
        </w:rPr>
        <w:t>them</w:t>
      </w:r>
      <w:proofErr w:type="gramEnd"/>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enhance coordination, information exchange and cooperation, as relevant, between the armed forces and national agencies with environmental </w:t>
      </w:r>
      <w:proofErr w:type="gramStart"/>
      <w:r>
        <w:rPr>
          <w:rFonts w:eastAsia="Times New Roman" w:cstheme="minorHAnsi"/>
          <w:iCs/>
          <w:lang w:val="en-GB"/>
        </w:rPr>
        <w:t>responsibilities</w:t>
      </w:r>
      <w:proofErr w:type="gramEnd"/>
      <w:r>
        <w:rPr>
          <w:rFonts w:eastAsia="Times New Roman" w:cstheme="minorHAnsi"/>
          <w:iCs/>
          <w:lang w:val="en-GB"/>
        </w:rPr>
        <w:t xml:space="preserve"> </w:t>
      </w:r>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apply to non-international armed conflicts the IHL rules protecting the natural environment in international armed </w:t>
      </w:r>
      <w:proofErr w:type="gramStart"/>
      <w:r>
        <w:rPr>
          <w:rFonts w:eastAsia="Times New Roman" w:cstheme="minorHAnsi"/>
          <w:iCs/>
          <w:lang w:val="en-GB"/>
        </w:rPr>
        <w:t>conflicts</w:t>
      </w:r>
      <w:proofErr w:type="gramEnd"/>
      <w:r>
        <w:rPr>
          <w:rFonts w:eastAsia="Times New Roman" w:cstheme="minorHAnsi"/>
          <w:iCs/>
          <w:lang w:val="en-GB"/>
        </w:rPr>
        <w:t xml:space="preserve"> </w:t>
      </w:r>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integrate IHL’s protection of the natural environment in academic courses and moot court competitions as well as in dissemination measures for the general </w:t>
      </w:r>
      <w:proofErr w:type="gramStart"/>
      <w:r>
        <w:rPr>
          <w:rFonts w:eastAsia="Times New Roman" w:cstheme="minorHAnsi"/>
          <w:iCs/>
          <w:lang w:val="en-GB"/>
        </w:rPr>
        <w:t>population</w:t>
      </w:r>
      <w:proofErr w:type="gramEnd"/>
    </w:p>
    <w:p>
      <w:pPr>
        <w:pStyle w:val="ListParagraph"/>
        <w:numPr>
          <w:ilvl w:val="1"/>
          <w:numId w:val="8"/>
        </w:numPr>
        <w:ind w:left="782" w:hanging="357"/>
        <w:contextualSpacing w:val="0"/>
        <w:jc w:val="both"/>
        <w:rPr>
          <w:rFonts w:eastAsia="Times New Roman" w:cstheme="minorHAnsi"/>
          <w:iCs/>
          <w:lang w:val="en-GB"/>
        </w:rPr>
      </w:pPr>
      <w:r>
        <w:rPr>
          <w:rFonts w:eastAsia="Times New Roman" w:cstheme="minorHAnsi"/>
          <w:iCs/>
          <w:lang w:val="en-GB"/>
        </w:rPr>
        <w:t xml:space="preserve">use international and national forums, platforms or initiatives to increase awareness of international law that protects the environment in armed conflict and promote its implementation (e.g. conferences, workshops, pledges, public websites). </w:t>
      </w:r>
    </w:p>
    <w:p>
      <w:pPr>
        <w:pStyle w:val="ListParagraph"/>
        <w:numPr>
          <w:ilvl w:val="0"/>
          <w:numId w:val="8"/>
        </w:numPr>
        <w:jc w:val="both"/>
        <w:rPr>
          <w:rFonts w:cstheme="minorHAnsi"/>
          <w:b/>
          <w:bCs/>
          <w:iCs/>
          <w:lang w:val="en-GB"/>
        </w:rPr>
      </w:pPr>
      <w:bookmarkStart w:id="1" w:name="_Hlk165889206"/>
      <w:r>
        <w:rPr>
          <w:rFonts w:cstheme="minorHAnsi"/>
          <w:b/>
          <w:bCs/>
          <w:iCs/>
          <w:lang w:val="en-GB"/>
        </w:rPr>
        <w:t xml:space="preserve">Incorporate IHL rules </w:t>
      </w:r>
      <w:r>
        <w:rPr>
          <w:rFonts w:eastAsia="Times New Roman" w:cstheme="minorHAnsi"/>
          <w:b/>
          <w:bCs/>
          <w:iCs/>
          <w:lang w:val="en-GB"/>
        </w:rPr>
        <w:t>protecting the</w:t>
      </w:r>
      <w:r>
        <w:rPr>
          <w:rFonts w:cstheme="minorHAnsi"/>
          <w:b/>
          <w:bCs/>
          <w:iCs/>
          <w:lang w:val="en-GB"/>
        </w:rPr>
        <w:t xml:space="preserve"> natural environment into military doctrine, education, training and disciplinary systems:</w:t>
      </w:r>
    </w:p>
    <w:bookmarkEnd w:id="1"/>
    <w:p>
      <w:pPr>
        <w:pStyle w:val="ListParagraph"/>
        <w:numPr>
          <w:ilvl w:val="1"/>
          <w:numId w:val="8"/>
        </w:numPr>
        <w:jc w:val="both"/>
        <w:rPr>
          <w:rFonts w:cstheme="minorHAnsi"/>
          <w:iCs/>
          <w:lang w:val="en-GB"/>
        </w:rPr>
      </w:pPr>
      <w:r>
        <w:rPr>
          <w:rFonts w:cstheme="minorHAnsi"/>
          <w:iCs/>
          <w:lang w:val="en-GB"/>
        </w:rPr>
        <w:t>develop new or adapt existing resources of armed forces (e.g. military and field manuals, standard operating procedures, courses, guidebooks and toolboxes, maps and practical simulations) to expressly integrate IHL rules that protect the natural environment and to ensure effective instruction</w:t>
      </w:r>
      <w:r>
        <w:rPr>
          <w:rFonts w:eastAsia="Times New Roman" w:cstheme="minorHAnsi"/>
          <w:iCs/>
          <w:lang w:val="en-GB"/>
        </w:rPr>
        <w:t xml:space="preserve">, taking into account the cultural identity and local norms and values of the </w:t>
      </w:r>
      <w:proofErr w:type="gramStart"/>
      <w:r>
        <w:rPr>
          <w:rFonts w:eastAsia="Times New Roman" w:cstheme="minorHAnsi"/>
          <w:iCs/>
          <w:lang w:val="en-GB"/>
        </w:rPr>
        <w:t>audience</w:t>
      </w:r>
      <w:proofErr w:type="gramEnd"/>
    </w:p>
    <w:p>
      <w:pPr>
        <w:pStyle w:val="ListParagraph"/>
        <w:numPr>
          <w:ilvl w:val="1"/>
          <w:numId w:val="8"/>
        </w:numPr>
        <w:jc w:val="both"/>
        <w:rPr>
          <w:rFonts w:cstheme="minorHAnsi"/>
          <w:iCs/>
          <w:lang w:val="en-GB"/>
        </w:rPr>
      </w:pPr>
      <w:r>
        <w:rPr>
          <w:rFonts w:cstheme="minorHAnsi"/>
          <w:iCs/>
          <w:lang w:val="en-GB"/>
        </w:rPr>
        <w:lastRenderedPageBreak/>
        <w:t xml:space="preserve">provide training to legal advisers to the armed forces or other relevant armed forces’ personnel on IHL rules protecting the natural environment to equip them to provide advice to military </w:t>
      </w:r>
      <w:proofErr w:type="gramStart"/>
      <w:r>
        <w:rPr>
          <w:rFonts w:cstheme="minorHAnsi"/>
          <w:iCs/>
          <w:lang w:val="en-GB"/>
        </w:rPr>
        <w:t>commanders</w:t>
      </w:r>
      <w:proofErr w:type="gramEnd"/>
      <w:r>
        <w:rPr>
          <w:rFonts w:cstheme="minorHAnsi"/>
          <w:iCs/>
          <w:lang w:val="en-GB"/>
        </w:rPr>
        <w:t xml:space="preserve"> </w:t>
      </w:r>
    </w:p>
    <w:p>
      <w:pPr>
        <w:pStyle w:val="ListParagraph"/>
        <w:numPr>
          <w:ilvl w:val="1"/>
          <w:numId w:val="8"/>
        </w:numPr>
        <w:jc w:val="both"/>
        <w:rPr>
          <w:rFonts w:cstheme="minorHAnsi"/>
          <w:iCs/>
          <w:lang w:val="en-GB"/>
        </w:rPr>
      </w:pPr>
      <w:r>
        <w:rPr>
          <w:rFonts w:cstheme="minorHAnsi"/>
          <w:iCs/>
          <w:lang w:val="en-GB"/>
        </w:rPr>
        <w:t xml:space="preserve">tailor military education and training to different levels (e.g. commanders, soldiers, personnel with environmental responsibilities), and provide relevant specialized training, including on specific topics (e.g. mine clearance, minimizing the environmental impacts of heavy weapons) </w:t>
      </w:r>
    </w:p>
    <w:p>
      <w:pPr>
        <w:pStyle w:val="ListParagraph"/>
        <w:numPr>
          <w:ilvl w:val="1"/>
          <w:numId w:val="8"/>
        </w:numPr>
        <w:jc w:val="both"/>
        <w:rPr>
          <w:rFonts w:cstheme="minorHAnsi"/>
          <w:iCs/>
          <w:lang w:val="en-GB"/>
        </w:rPr>
      </w:pPr>
      <w:r>
        <w:rPr>
          <w:rFonts w:cstheme="minorHAnsi"/>
          <w:iCs/>
          <w:lang w:val="en-GB"/>
        </w:rPr>
        <w:t xml:space="preserve">task personnel or units in the Ministry of Defence and armed forces with environmental responsibilities, including with providing expertise on reducing environmental damage during armed conflict and assessing those </w:t>
      </w:r>
      <w:proofErr w:type="gramStart"/>
      <w:r>
        <w:rPr>
          <w:rFonts w:cstheme="minorHAnsi"/>
          <w:iCs/>
          <w:lang w:val="en-GB"/>
        </w:rPr>
        <w:t>impacts</w:t>
      </w:r>
      <w:proofErr w:type="gramEnd"/>
      <w:r>
        <w:rPr>
          <w:rFonts w:cstheme="minorHAnsi"/>
          <w:iCs/>
          <w:lang w:val="en-GB"/>
        </w:rPr>
        <w:t xml:space="preserve"> </w:t>
      </w:r>
    </w:p>
    <w:p>
      <w:pPr>
        <w:pStyle w:val="ListParagraph"/>
        <w:numPr>
          <w:ilvl w:val="1"/>
          <w:numId w:val="8"/>
        </w:numPr>
        <w:jc w:val="both"/>
        <w:rPr>
          <w:rFonts w:cstheme="minorHAnsi"/>
          <w:iCs/>
          <w:lang w:val="en-GB"/>
        </w:rPr>
      </w:pPr>
      <w:r>
        <w:rPr>
          <w:rFonts w:cstheme="minorHAnsi"/>
          <w:iCs/>
          <w:lang w:val="en-GB"/>
        </w:rPr>
        <w:t xml:space="preserve">organize military field exercises to increase understanding of IHL rules, including regarding the natural environment, and to share knowledge on how to observe these rules in </w:t>
      </w:r>
      <w:proofErr w:type="gramStart"/>
      <w:r>
        <w:rPr>
          <w:rFonts w:cstheme="minorHAnsi"/>
          <w:iCs/>
          <w:lang w:val="en-GB"/>
        </w:rPr>
        <w:t>practice</w:t>
      </w:r>
      <w:proofErr w:type="gramEnd"/>
      <w:r>
        <w:rPr>
          <w:rFonts w:cstheme="minorHAnsi"/>
          <w:iCs/>
          <w:lang w:val="en-GB"/>
        </w:rPr>
        <w:t xml:space="preserve"> </w:t>
      </w:r>
    </w:p>
    <w:p>
      <w:pPr>
        <w:pStyle w:val="ListParagraph"/>
        <w:numPr>
          <w:ilvl w:val="1"/>
          <w:numId w:val="8"/>
        </w:numPr>
        <w:ind w:left="782" w:hanging="357"/>
        <w:contextualSpacing w:val="0"/>
        <w:jc w:val="both"/>
        <w:rPr>
          <w:rFonts w:cstheme="minorHAnsi"/>
          <w:iCs/>
          <w:lang w:val="en-GB"/>
        </w:rPr>
      </w:pPr>
      <w:bookmarkStart w:id="2" w:name="_Hlk165889226"/>
      <w:r>
        <w:rPr>
          <w:rFonts w:cstheme="minorHAnsi"/>
          <w:iCs/>
          <w:lang w:val="en-GB"/>
        </w:rPr>
        <w:t>take or support initiatives to disseminate and integrate IHL rules protecting the natural environment in non-State armed groups’ doctrine, training and compliance mechanisms, as well as to encourage the adoption of commitments to enhance wartime environmental protection.</w:t>
      </w:r>
    </w:p>
    <w:p>
      <w:pPr>
        <w:pStyle w:val="ListParagraph"/>
        <w:numPr>
          <w:ilvl w:val="0"/>
          <w:numId w:val="8"/>
        </w:numPr>
        <w:jc w:val="both"/>
        <w:rPr>
          <w:rFonts w:eastAsia="Times New Roman" w:cstheme="minorHAnsi"/>
          <w:b/>
          <w:bCs/>
          <w:iCs/>
          <w:lang w:val="en-GB"/>
        </w:rPr>
      </w:pPr>
      <w:bookmarkStart w:id="3" w:name="_Hlk165889242"/>
      <w:bookmarkEnd w:id="2"/>
      <w:r>
        <w:rPr>
          <w:rFonts w:eastAsia="Times New Roman" w:cstheme="minorHAnsi"/>
          <w:b/>
          <w:bCs/>
          <w:iCs/>
          <w:lang w:val="en-GB"/>
        </w:rPr>
        <w:t xml:space="preserve">Adopt and implement measures to increase understanding and awareness of the effects of armed conflict on the natural environment prior to and regularly during operations, whenever feasible and operationally relevant, to minimize the direct and indirect impacts of military operations on the environment. For example: </w:t>
      </w:r>
    </w:p>
    <w:bookmarkEnd w:id="3"/>
    <w:p>
      <w:pPr>
        <w:pStyle w:val="ListParagraph"/>
        <w:numPr>
          <w:ilvl w:val="1"/>
          <w:numId w:val="8"/>
        </w:numPr>
        <w:ind w:left="709" w:hanging="218"/>
        <w:jc w:val="both"/>
        <w:rPr>
          <w:rFonts w:eastAsia="Times New Roman" w:cstheme="minorHAnsi"/>
          <w:iCs/>
          <w:lang w:val="en-GB"/>
        </w:rPr>
      </w:pPr>
      <w:r>
        <w:rPr>
          <w:rFonts w:eastAsia="Times New Roman" w:cstheme="minorHAnsi"/>
          <w:iCs/>
          <w:lang w:val="en-GB"/>
        </w:rPr>
        <w:t>prior to deployment and/or during operations, gather environmental data on the area of operations (e.g. determine</w:t>
      </w:r>
      <w:r>
        <w:rPr>
          <w:rFonts w:eastAsia="Times New Roman" w:cstheme="minorHAnsi"/>
          <w:iCs/>
          <w:lang w:val="en-GB"/>
        </w:rPr>
        <w:t xml:space="preserve"> </w:t>
      </w:r>
      <w:r>
        <w:rPr>
          <w:rFonts w:eastAsia="Times New Roman" w:cstheme="minorHAnsi"/>
          <w:iCs/>
          <w:lang w:val="en-GB"/>
        </w:rPr>
        <w:t xml:space="preserve">the presence of protected environmental areas and locations prone to climate risks and shocks, or where the environment is otherwise particularly degraded or fragile) and include it in operational planning to mitigate expected damage </w:t>
      </w:r>
    </w:p>
    <w:p>
      <w:pPr>
        <w:pStyle w:val="ListParagraph"/>
        <w:numPr>
          <w:ilvl w:val="1"/>
          <w:numId w:val="8"/>
        </w:numPr>
        <w:ind w:left="709" w:hanging="218"/>
        <w:jc w:val="both"/>
        <w:rPr>
          <w:rFonts w:eastAsia="Times New Roman" w:cstheme="minorHAnsi"/>
          <w:iCs/>
          <w:lang w:val="en-GB"/>
        </w:rPr>
      </w:pPr>
      <w:r>
        <w:rPr>
          <w:rFonts w:eastAsia="Times New Roman" w:cstheme="minorHAnsi"/>
          <w:iCs/>
          <w:lang w:val="en-GB"/>
        </w:rPr>
        <w:t xml:space="preserve">when planning attacks, map areas of particular environmental importance or fragility to inform the conduct of hostilities, for instance by including these areas on no-strike </w:t>
      </w:r>
      <w:proofErr w:type="gramStart"/>
      <w:r>
        <w:rPr>
          <w:rFonts w:eastAsia="Times New Roman" w:cstheme="minorHAnsi"/>
          <w:iCs/>
          <w:lang w:val="en-GB"/>
        </w:rPr>
        <w:t>lists</w:t>
      </w:r>
      <w:proofErr w:type="gramEnd"/>
    </w:p>
    <w:p>
      <w:pPr>
        <w:pStyle w:val="ListParagraph"/>
        <w:numPr>
          <w:ilvl w:val="1"/>
          <w:numId w:val="8"/>
        </w:numPr>
        <w:ind w:left="709" w:hanging="218"/>
        <w:jc w:val="both"/>
        <w:rPr>
          <w:rFonts w:eastAsia="Times New Roman" w:cstheme="minorHAnsi"/>
          <w:iCs/>
          <w:lang w:val="en-GB"/>
        </w:rPr>
      </w:pPr>
      <w:r>
        <w:rPr>
          <w:rFonts w:eastAsia="Times New Roman" w:cstheme="minorHAnsi"/>
          <w:iCs/>
          <w:lang w:val="en-GB"/>
        </w:rPr>
        <w:t>take steps to improve armed forces’ understanding of the environmental impacts of military operations, for example by gathering information from:</w:t>
      </w:r>
    </w:p>
    <w:p>
      <w:pPr>
        <w:pStyle w:val="ListParagraph"/>
        <w:numPr>
          <w:ilvl w:val="2"/>
          <w:numId w:val="8"/>
        </w:numPr>
        <w:jc w:val="both"/>
        <w:rPr>
          <w:rFonts w:eastAsia="Times New Roman" w:cstheme="minorHAnsi"/>
          <w:iCs/>
          <w:lang w:val="en-GB"/>
        </w:rPr>
      </w:pPr>
      <w:r>
        <w:rPr>
          <w:rFonts w:eastAsia="Times New Roman" w:cstheme="minorHAnsi"/>
          <w:iCs/>
          <w:lang w:val="en-GB"/>
        </w:rPr>
        <w:t xml:space="preserve">agencies with environmental expertise and/or local communities as relevant and appropriate </w:t>
      </w:r>
    </w:p>
    <w:p>
      <w:pPr>
        <w:pStyle w:val="ListParagraph"/>
        <w:numPr>
          <w:ilvl w:val="2"/>
          <w:numId w:val="8"/>
        </w:numPr>
        <w:jc w:val="both"/>
        <w:rPr>
          <w:rFonts w:eastAsia="Times New Roman" w:cstheme="minorHAnsi"/>
          <w:iCs/>
          <w:lang w:val="en-GB"/>
        </w:rPr>
      </w:pPr>
      <w:r>
        <w:rPr>
          <w:rFonts w:eastAsia="Times New Roman" w:cstheme="minorHAnsi"/>
          <w:iCs/>
          <w:lang w:val="en-GB"/>
        </w:rPr>
        <w:t xml:space="preserve">remote and open-source data, and/or </w:t>
      </w:r>
    </w:p>
    <w:p>
      <w:pPr>
        <w:pStyle w:val="ListParagraph"/>
        <w:numPr>
          <w:ilvl w:val="2"/>
          <w:numId w:val="8"/>
        </w:numPr>
        <w:jc w:val="both"/>
        <w:rPr>
          <w:rFonts w:eastAsia="Times New Roman" w:cstheme="minorHAnsi"/>
          <w:iCs/>
          <w:lang w:val="en-GB"/>
        </w:rPr>
      </w:pPr>
      <w:r>
        <w:rPr>
          <w:rFonts w:eastAsia="Times New Roman" w:cstheme="minorHAnsi"/>
          <w:iCs/>
          <w:lang w:val="en-GB"/>
        </w:rPr>
        <w:t>new technologies and other tools such as geospatial analysis</w:t>
      </w:r>
    </w:p>
    <w:p>
      <w:pPr>
        <w:pStyle w:val="ListParagraph"/>
        <w:numPr>
          <w:ilvl w:val="1"/>
          <w:numId w:val="8"/>
        </w:numPr>
        <w:ind w:left="709" w:hanging="218"/>
        <w:jc w:val="both"/>
        <w:rPr>
          <w:rFonts w:eastAsia="Times New Roman" w:cstheme="minorHAnsi"/>
          <w:iCs/>
          <w:lang w:val="en-GB"/>
        </w:rPr>
      </w:pPr>
      <w:r>
        <w:rPr>
          <w:rFonts w:eastAsia="Times New Roman" w:cstheme="minorHAnsi"/>
          <w:iCs/>
          <w:lang w:val="en-GB"/>
        </w:rPr>
        <w:t xml:space="preserve">establish in the armed forces specific environmental expertise and responsibilities (e.g. within existing functions for intelligence, planning, operations), for example to conduct a pre-deployment environmental study or to provide legal and environmental advice to commanders during the conduct of </w:t>
      </w:r>
      <w:proofErr w:type="gramStart"/>
      <w:r>
        <w:rPr>
          <w:rFonts w:eastAsia="Times New Roman" w:cstheme="minorHAnsi"/>
          <w:iCs/>
          <w:lang w:val="en-GB"/>
        </w:rPr>
        <w:t>hostilities</w:t>
      </w:r>
      <w:proofErr w:type="gramEnd"/>
      <w:r>
        <w:rPr>
          <w:rFonts w:eastAsia="Times New Roman" w:cstheme="minorHAnsi"/>
          <w:iCs/>
          <w:lang w:val="en-GB"/>
        </w:rPr>
        <w:t xml:space="preserve"> </w:t>
      </w:r>
    </w:p>
    <w:p>
      <w:pPr>
        <w:pStyle w:val="ListParagraph"/>
        <w:numPr>
          <w:ilvl w:val="1"/>
          <w:numId w:val="8"/>
        </w:numPr>
        <w:ind w:left="709" w:hanging="218"/>
        <w:jc w:val="both"/>
        <w:rPr>
          <w:rFonts w:eastAsia="Times New Roman" w:cstheme="minorHAnsi"/>
          <w:iCs/>
          <w:lang w:val="en-GB"/>
        </w:rPr>
      </w:pPr>
      <w:r>
        <w:rPr>
          <w:rFonts w:eastAsia="Times New Roman" w:cstheme="minorHAnsi"/>
          <w:iCs/>
          <w:lang w:val="en-GB"/>
        </w:rPr>
        <w:t xml:space="preserve">enhance coordination between the armed forces and national agencies with environmental responsibilities, including to conduct pre-deployment environmental impact assessments or during military operational </w:t>
      </w:r>
      <w:proofErr w:type="gramStart"/>
      <w:r>
        <w:rPr>
          <w:rFonts w:eastAsia="Times New Roman" w:cstheme="minorHAnsi"/>
          <w:iCs/>
          <w:lang w:val="en-GB"/>
        </w:rPr>
        <w:t>planning</w:t>
      </w:r>
      <w:proofErr w:type="gramEnd"/>
      <w:r>
        <w:rPr>
          <w:rFonts w:eastAsia="Times New Roman" w:cstheme="minorHAnsi"/>
          <w:iCs/>
          <w:lang w:val="en-GB"/>
        </w:rPr>
        <w:t xml:space="preserve"> </w:t>
      </w:r>
    </w:p>
    <w:p>
      <w:pPr>
        <w:pStyle w:val="ListParagraph"/>
        <w:numPr>
          <w:ilvl w:val="1"/>
          <w:numId w:val="8"/>
        </w:numPr>
        <w:ind w:left="709" w:hanging="218"/>
        <w:jc w:val="both"/>
        <w:rPr>
          <w:rFonts w:eastAsia="Times New Roman" w:cstheme="minorHAnsi"/>
          <w:iCs/>
          <w:lang w:val="en-GB"/>
        </w:rPr>
      </w:pPr>
      <w:r>
        <w:rPr>
          <w:rFonts w:cstheme="minorHAnsi"/>
          <w:lang w:val="en-GB"/>
        </w:rPr>
        <w:t xml:space="preserve">conduct post-strike “battle damage assessments” or “after-action reviews” including an assessment of environmental damage to inform planning for future operations and </w:t>
      </w:r>
      <w:proofErr w:type="gramStart"/>
      <w:r>
        <w:rPr>
          <w:rFonts w:cstheme="minorHAnsi"/>
          <w:lang w:val="en-GB"/>
        </w:rPr>
        <w:t>attacks</w:t>
      </w:r>
      <w:proofErr w:type="gramEnd"/>
      <w:r>
        <w:rPr>
          <w:rFonts w:cstheme="minorHAnsi"/>
          <w:lang w:val="en-GB"/>
        </w:rPr>
        <w:t xml:space="preserve"> </w:t>
      </w:r>
    </w:p>
    <w:p>
      <w:pPr>
        <w:pStyle w:val="ListParagraph"/>
        <w:numPr>
          <w:ilvl w:val="1"/>
          <w:numId w:val="8"/>
        </w:numPr>
        <w:ind w:left="709" w:hanging="218"/>
        <w:jc w:val="both"/>
        <w:rPr>
          <w:rFonts w:eastAsia="Times New Roman" w:cstheme="minorHAnsi"/>
          <w:iCs/>
          <w:lang w:val="en-GB"/>
        </w:rPr>
      </w:pPr>
      <w:r>
        <w:rPr>
          <w:rFonts w:eastAsia="Times New Roman" w:cstheme="minorHAnsi"/>
          <w:iCs/>
          <w:lang w:val="en-GB"/>
        </w:rPr>
        <w:t xml:space="preserve">carry out legal reviews of new weapons, means and methods of warfare that include information on the intended and likely direct and indirect environmental </w:t>
      </w:r>
      <w:proofErr w:type="gramStart"/>
      <w:r>
        <w:rPr>
          <w:rFonts w:eastAsia="Times New Roman" w:cstheme="minorHAnsi"/>
          <w:iCs/>
          <w:lang w:val="en-GB"/>
        </w:rPr>
        <w:t>impacts</w:t>
      </w:r>
      <w:proofErr w:type="gramEnd"/>
    </w:p>
    <w:p>
      <w:pPr>
        <w:pStyle w:val="ListParagraph"/>
        <w:numPr>
          <w:ilvl w:val="1"/>
          <w:numId w:val="8"/>
        </w:numPr>
        <w:ind w:left="708" w:hanging="215"/>
        <w:contextualSpacing w:val="0"/>
        <w:jc w:val="both"/>
        <w:rPr>
          <w:rFonts w:eastAsia="Times New Roman" w:cstheme="minorHAnsi"/>
          <w:iCs/>
          <w:lang w:val="en-GB"/>
        </w:rPr>
      </w:pPr>
      <w:bookmarkStart w:id="4" w:name="_Hlk165889326"/>
      <w:r>
        <w:rPr>
          <w:rFonts w:eastAsia="Times New Roman" w:cstheme="minorHAnsi"/>
          <w:iCs/>
          <w:lang w:val="en-GB"/>
        </w:rPr>
        <w:t xml:space="preserve">collate and share good practices of measures and processes that protect the environment with other armed forces, and encourage other armed forces or groups, when partnered with them, to adopt protective measures. </w:t>
      </w:r>
    </w:p>
    <w:bookmarkEnd w:id="4"/>
    <w:p>
      <w:pPr>
        <w:pStyle w:val="ListParagraph"/>
        <w:numPr>
          <w:ilvl w:val="0"/>
          <w:numId w:val="8"/>
        </w:numPr>
        <w:jc w:val="both"/>
        <w:rPr>
          <w:rFonts w:eastAsia="Times New Roman" w:cstheme="minorHAnsi"/>
          <w:b/>
          <w:bCs/>
          <w:iCs/>
          <w:lang w:val="en-GB"/>
        </w:rPr>
      </w:pPr>
      <w:r>
        <w:rPr>
          <w:rFonts w:eastAsia="Times New Roman" w:cstheme="minorHAnsi"/>
          <w:b/>
          <w:bCs/>
          <w:iCs/>
          <w:lang w:val="en-GB"/>
        </w:rPr>
        <w:lastRenderedPageBreak/>
        <w:t>Identify priority areas of particular environmental importance or fragility – such as national parks, other nature reserves or endangered species habitats – and designate these as demilitarized zones or with other enhanced protection in the event of an armed conflict. For example:</w:t>
      </w:r>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use existing national, regional or international lists of protected areas, for instance World Heritage Convention natural heritage sites, to identify and prioritize such </w:t>
      </w:r>
      <w:proofErr w:type="gramStart"/>
      <w:r>
        <w:rPr>
          <w:rFonts w:eastAsia="Times New Roman" w:cstheme="minorHAnsi"/>
          <w:iCs/>
          <w:lang w:val="en-GB"/>
        </w:rPr>
        <w:t>areas</w:t>
      </w:r>
      <w:proofErr w:type="gramEnd"/>
    </w:p>
    <w:p>
      <w:pPr>
        <w:pStyle w:val="ListParagraph"/>
        <w:numPr>
          <w:ilvl w:val="1"/>
          <w:numId w:val="8"/>
        </w:numPr>
        <w:jc w:val="both"/>
        <w:rPr>
          <w:rFonts w:eastAsia="Times New Roman" w:cstheme="minorHAnsi"/>
          <w:iCs/>
          <w:lang w:val="en-GB"/>
        </w:rPr>
      </w:pPr>
      <w:r>
        <w:rPr>
          <w:rFonts w:cstheme="minorHAnsi"/>
          <w:lang w:val="en-GB"/>
        </w:rPr>
        <w:t xml:space="preserve">conduct consultations with other States and/or the ICRC to consider mutually granting enhanced protection to certain prioritized environmental areas in armed </w:t>
      </w:r>
      <w:proofErr w:type="gramStart"/>
      <w:r>
        <w:rPr>
          <w:rFonts w:cstheme="minorHAnsi"/>
          <w:lang w:val="en-GB"/>
        </w:rPr>
        <w:t>conflicts</w:t>
      </w:r>
      <w:proofErr w:type="gramEnd"/>
      <w:r>
        <w:rPr>
          <w:rFonts w:cstheme="minorHAnsi"/>
          <w:lang w:val="en-GB"/>
        </w:rPr>
        <w:t xml:space="preserve"> </w:t>
      </w:r>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adopt or modify national laws, standard operating procedures or policies to facilitate the creation of demilitarized environmental zones or otherwise enhance protection of certain particularly important or fragile environmental areas in armed </w:t>
      </w:r>
      <w:proofErr w:type="gramStart"/>
      <w:r>
        <w:rPr>
          <w:rFonts w:eastAsia="Times New Roman" w:cstheme="minorHAnsi"/>
          <w:iCs/>
          <w:lang w:val="en-GB"/>
        </w:rPr>
        <w:t>conflicts</w:t>
      </w:r>
      <w:proofErr w:type="gramEnd"/>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integrate references to selected environmental areas in military doctrine, training or guidance, including in maps used by troops in military training or </w:t>
      </w:r>
      <w:proofErr w:type="gramStart"/>
      <w:r>
        <w:rPr>
          <w:rFonts w:eastAsia="Times New Roman" w:cstheme="minorHAnsi"/>
          <w:iCs/>
          <w:lang w:val="en-GB"/>
        </w:rPr>
        <w:t>operations</w:t>
      </w:r>
      <w:proofErr w:type="gramEnd"/>
      <w:r>
        <w:rPr>
          <w:rFonts w:eastAsia="Times New Roman" w:cstheme="minorHAnsi"/>
          <w:iCs/>
          <w:lang w:val="en-GB"/>
        </w:rPr>
        <w:t xml:space="preserve"> </w:t>
      </w:r>
    </w:p>
    <w:p>
      <w:pPr>
        <w:pStyle w:val="ListParagraph"/>
        <w:numPr>
          <w:ilvl w:val="1"/>
          <w:numId w:val="8"/>
        </w:numPr>
        <w:jc w:val="both"/>
        <w:rPr>
          <w:rFonts w:eastAsia="Times New Roman" w:cstheme="minorHAnsi"/>
          <w:iCs/>
          <w:lang w:val="en-GB"/>
        </w:rPr>
      </w:pPr>
      <w:r>
        <w:rPr>
          <w:rFonts w:eastAsia="Times New Roman" w:cstheme="minorHAnsi"/>
          <w:iCs/>
          <w:lang w:val="en-GB"/>
        </w:rPr>
        <w:t xml:space="preserve">consult local communities, including indigenous persons where they are present, notably when identifying environmentally important or fragile areas and when considering the establishment of protected environmental zones in armed </w:t>
      </w:r>
      <w:proofErr w:type="gramStart"/>
      <w:r>
        <w:rPr>
          <w:rFonts w:eastAsia="Times New Roman" w:cstheme="minorHAnsi"/>
          <w:iCs/>
          <w:lang w:val="en-GB"/>
        </w:rPr>
        <w:t>conflicts</w:t>
      </w:r>
      <w:proofErr w:type="gramEnd"/>
      <w:r>
        <w:rPr>
          <w:rFonts w:eastAsia="Times New Roman" w:cstheme="minorHAnsi"/>
          <w:iCs/>
          <w:lang w:val="en-GB"/>
        </w:rPr>
        <w:t xml:space="preserve"> </w:t>
      </w:r>
    </w:p>
    <w:p>
      <w:pPr>
        <w:pStyle w:val="ListParagraph"/>
        <w:numPr>
          <w:ilvl w:val="1"/>
          <w:numId w:val="8"/>
        </w:numPr>
        <w:jc w:val="both"/>
        <w:rPr>
          <w:rFonts w:eastAsia="Times New Roman" w:cstheme="minorHAnsi"/>
          <w:iCs/>
          <w:lang w:val="en-GB"/>
        </w:rPr>
      </w:pPr>
      <w:bookmarkStart w:id="5" w:name="_Hlk167789379"/>
      <w:r>
        <w:rPr>
          <w:rFonts w:eastAsia="Times New Roman" w:cstheme="minorHAnsi"/>
          <w:iCs/>
          <w:lang w:val="en-GB"/>
        </w:rPr>
        <w:t xml:space="preserve">encourage, or endeavour to conclude, agreements between parties to a conflict, including non-State armed groups, that will provide additional protection to certain areas of particular environmental importance or fragility, including for example through demilitarization of such </w:t>
      </w:r>
      <w:proofErr w:type="gramStart"/>
      <w:r>
        <w:rPr>
          <w:rFonts w:eastAsia="Times New Roman" w:cstheme="minorHAnsi"/>
          <w:iCs/>
          <w:lang w:val="en-GB"/>
        </w:rPr>
        <w:t>areas</w:t>
      </w:r>
      <w:proofErr w:type="gramEnd"/>
    </w:p>
    <w:p>
      <w:pPr>
        <w:pStyle w:val="ListParagraph"/>
        <w:numPr>
          <w:ilvl w:val="1"/>
          <w:numId w:val="8"/>
        </w:numPr>
        <w:jc w:val="both"/>
        <w:rPr>
          <w:rFonts w:eastAsia="Times New Roman" w:cstheme="minorHAnsi"/>
          <w:iCs/>
          <w:lang w:val="en-GB"/>
        </w:rPr>
      </w:pPr>
      <w:bookmarkStart w:id="6" w:name="_Hlk167789510"/>
      <w:bookmarkEnd w:id="5"/>
      <w:r>
        <w:rPr>
          <w:rFonts w:eastAsia="Times New Roman" w:cstheme="minorHAnsi"/>
          <w:iCs/>
          <w:lang w:val="en-GB"/>
        </w:rPr>
        <w:t xml:space="preserve">avoid placing troops and military objectives in areas of particular environmental importance or fragility where feasible (if full demilitarization not possible), and inform opposing parties of the existence and location of such </w:t>
      </w:r>
      <w:proofErr w:type="gramStart"/>
      <w:r>
        <w:rPr>
          <w:rFonts w:eastAsia="Times New Roman" w:cstheme="minorHAnsi"/>
          <w:iCs/>
          <w:lang w:val="en-GB"/>
        </w:rPr>
        <w:t>areas</w:t>
      </w:r>
      <w:proofErr w:type="gramEnd"/>
    </w:p>
    <w:bookmarkEnd w:id="6"/>
    <w:p>
      <w:pPr>
        <w:pStyle w:val="ListParagraph"/>
        <w:numPr>
          <w:ilvl w:val="1"/>
          <w:numId w:val="8"/>
        </w:numPr>
        <w:jc w:val="both"/>
        <w:rPr>
          <w:rFonts w:eastAsia="Times New Roman" w:cstheme="minorHAnsi"/>
          <w:iCs/>
          <w:lang w:val="en-GB"/>
        </w:rPr>
      </w:pPr>
      <w:r>
        <w:rPr>
          <w:rFonts w:eastAsia="Times New Roman" w:cstheme="minorHAnsi"/>
          <w:iCs/>
          <w:lang w:val="en-GB"/>
        </w:rPr>
        <w:t xml:space="preserve">enhance coordination between national environmental authorities, conservation actors and the military around such </w:t>
      </w:r>
      <w:proofErr w:type="gramStart"/>
      <w:r>
        <w:rPr>
          <w:rFonts w:eastAsia="Times New Roman" w:cstheme="minorHAnsi"/>
          <w:iCs/>
          <w:lang w:val="en-GB"/>
        </w:rPr>
        <w:t>areas</w:t>
      </w:r>
      <w:proofErr w:type="gramEnd"/>
    </w:p>
    <w:p>
      <w:pPr>
        <w:pStyle w:val="ListParagraph"/>
        <w:numPr>
          <w:ilvl w:val="1"/>
          <w:numId w:val="8"/>
        </w:numPr>
        <w:ind w:left="782" w:hanging="357"/>
        <w:contextualSpacing w:val="0"/>
        <w:jc w:val="both"/>
        <w:rPr>
          <w:rFonts w:eastAsia="Times New Roman" w:cstheme="minorHAnsi"/>
          <w:iCs/>
          <w:lang w:val="en-GB"/>
        </w:rPr>
      </w:pPr>
      <w:r>
        <w:rPr>
          <w:rFonts w:eastAsia="Times New Roman" w:cstheme="minorHAnsi"/>
          <w:iCs/>
          <w:lang w:val="en-GB"/>
        </w:rPr>
        <w:t>establish specialized units within armed forces operating in cross-border areas of particular environmental importance or fragility as well as cross-border environmental cooperation structures to manage, protect and preserve these areas.</w:t>
      </w:r>
    </w:p>
    <w:p>
      <w:pPr>
        <w:pStyle w:val="ListParagraph"/>
        <w:numPr>
          <w:ilvl w:val="0"/>
          <w:numId w:val="8"/>
        </w:numPr>
        <w:jc w:val="both"/>
        <w:rPr>
          <w:rFonts w:eastAsia="Times New Roman" w:cstheme="minorHAnsi"/>
          <w:b/>
          <w:bCs/>
          <w:iCs/>
          <w:lang w:val="en-GB"/>
        </w:rPr>
      </w:pPr>
      <w:bookmarkStart w:id="7" w:name="_Hlk165889357"/>
      <w:r>
        <w:rPr>
          <w:rFonts w:eastAsia="Times New Roman" w:cstheme="minorHAnsi"/>
          <w:b/>
          <w:bCs/>
          <w:iCs/>
          <w:lang w:val="en-GB"/>
        </w:rPr>
        <w:t xml:space="preserve">Exchange good practices and examples of measures that can be taken to comply with IHL obligations that protect the natural environment, through activities such as military training, conferences and regional forums. </w:t>
      </w:r>
      <w:bookmarkStart w:id="8" w:name="_Hlk5373004"/>
      <w:r>
        <w:rPr>
          <w:rFonts w:eastAsia="Times New Roman" w:cstheme="minorHAnsi"/>
          <w:b/>
          <w:bCs/>
          <w:iCs/>
          <w:lang w:val="en-GB"/>
        </w:rPr>
        <w:t xml:space="preserve">For example: </w:t>
      </w:r>
    </w:p>
    <w:p>
      <w:pPr>
        <w:pStyle w:val="ListParagraph"/>
        <w:numPr>
          <w:ilvl w:val="1"/>
          <w:numId w:val="8"/>
        </w:numPr>
        <w:ind w:left="709" w:hanging="283"/>
        <w:jc w:val="both"/>
        <w:rPr>
          <w:rFonts w:eastAsia="Times New Roman" w:cstheme="minorHAnsi"/>
          <w:iCs/>
          <w:lang w:val="en-GB"/>
        </w:rPr>
      </w:pPr>
      <w:bookmarkStart w:id="9" w:name="_Hlk6308955"/>
      <w:bookmarkEnd w:id="8"/>
      <w:r>
        <w:rPr>
          <w:rFonts w:eastAsia="Times New Roman" w:cstheme="minorHAnsi"/>
          <w:iCs/>
          <w:lang w:val="en-GB"/>
        </w:rPr>
        <w:t xml:space="preserve">share relevant data on the environmental impacts of military operations with other actors, including States, humanitarian actors or allied forces, for example as part of memoranda of understanding or during exchanges between </w:t>
      </w:r>
      <w:proofErr w:type="gramStart"/>
      <w:r>
        <w:rPr>
          <w:rFonts w:eastAsia="Times New Roman" w:cstheme="minorHAnsi"/>
          <w:iCs/>
          <w:lang w:val="en-GB"/>
        </w:rPr>
        <w:t>States</w:t>
      </w:r>
      <w:proofErr w:type="gramEnd"/>
    </w:p>
    <w:p>
      <w:pPr>
        <w:pStyle w:val="ListParagraph"/>
        <w:numPr>
          <w:ilvl w:val="1"/>
          <w:numId w:val="8"/>
        </w:numPr>
        <w:ind w:left="709" w:hanging="283"/>
        <w:jc w:val="both"/>
        <w:rPr>
          <w:rFonts w:eastAsia="Times New Roman" w:cstheme="minorHAnsi"/>
          <w:iCs/>
          <w:lang w:val="en-GB"/>
        </w:rPr>
      </w:pPr>
      <w:r>
        <w:rPr>
          <w:rFonts w:eastAsia="Times New Roman" w:cstheme="minorHAnsi"/>
          <w:iCs/>
          <w:lang w:val="en-GB"/>
        </w:rPr>
        <w:t xml:space="preserve">provide technical expertise to other States, for instance on conducting environmental impact assessments in armed conflict or on measures that can better protect areas of particular environmental importance or </w:t>
      </w:r>
      <w:proofErr w:type="gramStart"/>
      <w:r>
        <w:rPr>
          <w:rFonts w:eastAsia="Times New Roman" w:cstheme="minorHAnsi"/>
          <w:iCs/>
          <w:lang w:val="en-GB"/>
        </w:rPr>
        <w:t>fragility</w:t>
      </w:r>
      <w:proofErr w:type="gramEnd"/>
    </w:p>
    <w:p>
      <w:pPr>
        <w:pStyle w:val="ListParagraph"/>
        <w:numPr>
          <w:ilvl w:val="1"/>
          <w:numId w:val="8"/>
        </w:numPr>
        <w:ind w:left="709" w:hanging="283"/>
        <w:jc w:val="both"/>
        <w:rPr>
          <w:rFonts w:eastAsia="Times New Roman" w:cstheme="minorHAnsi"/>
          <w:iCs/>
          <w:lang w:val="en-GB"/>
        </w:rPr>
      </w:pPr>
      <w:r>
        <w:rPr>
          <w:rFonts w:eastAsia="Times New Roman" w:cstheme="minorHAnsi"/>
          <w:iCs/>
          <w:lang w:val="en-GB"/>
        </w:rPr>
        <w:t xml:space="preserve">carry out or share scientific assessments of the damage caused to the natural environment by certain types of </w:t>
      </w:r>
      <w:proofErr w:type="gramStart"/>
      <w:r>
        <w:rPr>
          <w:rFonts w:eastAsia="Times New Roman" w:cstheme="minorHAnsi"/>
          <w:iCs/>
          <w:lang w:val="en-GB"/>
        </w:rPr>
        <w:t>weapons</w:t>
      </w:r>
      <w:proofErr w:type="gramEnd"/>
    </w:p>
    <w:p>
      <w:pPr>
        <w:pStyle w:val="ListParagraph"/>
        <w:numPr>
          <w:ilvl w:val="1"/>
          <w:numId w:val="8"/>
        </w:numPr>
        <w:ind w:left="709" w:hanging="283"/>
        <w:jc w:val="both"/>
        <w:rPr>
          <w:rFonts w:eastAsia="Times New Roman" w:cstheme="minorHAnsi"/>
          <w:iCs/>
          <w:lang w:val="en-GB"/>
        </w:rPr>
      </w:pPr>
      <w:r>
        <w:rPr>
          <w:rFonts w:cstheme="minorHAnsi"/>
          <w:iCs/>
          <w:lang w:val="en-GB"/>
        </w:rPr>
        <w:t xml:space="preserve">organize joint military exercises or other similar initiatives to increase understanding of IHL rules and their practical application, including with respect to the natural </w:t>
      </w:r>
      <w:proofErr w:type="gramStart"/>
      <w:r>
        <w:rPr>
          <w:rFonts w:cstheme="minorHAnsi"/>
          <w:iCs/>
          <w:lang w:val="en-GB"/>
        </w:rPr>
        <w:t>environment</w:t>
      </w:r>
      <w:proofErr w:type="gramEnd"/>
    </w:p>
    <w:p>
      <w:pPr>
        <w:pStyle w:val="ListParagraph"/>
        <w:numPr>
          <w:ilvl w:val="1"/>
          <w:numId w:val="8"/>
        </w:numPr>
        <w:ind w:left="709" w:hanging="283"/>
        <w:jc w:val="both"/>
        <w:rPr>
          <w:rFonts w:eastAsia="Times New Roman" w:cstheme="minorHAnsi"/>
          <w:iCs/>
          <w:lang w:val="en-GB"/>
        </w:rPr>
      </w:pPr>
      <w:r>
        <w:rPr>
          <w:rFonts w:cstheme="minorHAnsi"/>
          <w:iCs/>
          <w:lang w:val="en-GB"/>
        </w:rPr>
        <w:t xml:space="preserve">support efforts by relevant actors to strengthen non-State armed groups’ awareness </w:t>
      </w:r>
      <w:r>
        <w:rPr>
          <w:rFonts w:eastAsia="Times New Roman" w:cstheme="minorHAnsi"/>
          <w:iCs/>
          <w:lang w:val="en-GB"/>
        </w:rPr>
        <w:t>of the damage caused to the natural environment by certain types of weapons, and the limits imposed by IHL</w:t>
      </w:r>
      <w:r>
        <w:rPr>
          <w:rFonts w:cstheme="minorHAnsi"/>
          <w:iCs/>
          <w:lang w:val="en-GB"/>
        </w:rPr>
        <w:t xml:space="preserve">. </w:t>
      </w:r>
    </w:p>
    <w:bookmarkEnd w:id="9"/>
    <w:bookmarkEnd w:id="7"/>
    <w:p>
      <w:pPr>
        <w:pStyle w:val="Heading2"/>
        <w:rPr>
          <w:lang w:val="en-GB"/>
        </w:rPr>
      </w:pPr>
      <w:r>
        <w:rPr>
          <w:lang w:val="en-GB"/>
        </w:rPr>
        <w:lastRenderedPageBreak/>
        <w:t xml:space="preserve">C. Potential indicators for measuring </w:t>
      </w:r>
      <w:proofErr w:type="gramStart"/>
      <w:r>
        <w:rPr>
          <w:lang w:val="en-GB"/>
        </w:rPr>
        <w:t>progress</w:t>
      </w:r>
      <w:proofErr w:type="gramEnd"/>
    </w:p>
    <w:p>
      <w:pPr>
        <w:pStyle w:val="ListParagraph"/>
        <w:keepNext/>
        <w:numPr>
          <w:ilvl w:val="0"/>
          <w:numId w:val="6"/>
        </w:numPr>
        <w:autoSpaceDE w:val="0"/>
        <w:autoSpaceDN w:val="0"/>
        <w:adjustRightInd w:val="0"/>
        <w:spacing w:after="0" w:line="240" w:lineRule="auto"/>
        <w:jc w:val="both"/>
        <w:rPr>
          <w:rFonts w:eastAsia="Times New Roman" w:cstheme="minorHAnsi"/>
          <w:iCs/>
          <w:lang w:val="en-GB"/>
        </w:rPr>
      </w:pPr>
      <w:r>
        <w:rPr>
          <w:rFonts w:eastAsia="Times New Roman" w:cstheme="minorHAnsi"/>
          <w:iCs/>
          <w:lang w:val="en-GB"/>
        </w:rPr>
        <w:t>Number of actions taken by States, National Societies and/or observers to incorporate IHL obligations and recommendations protecting the natural environment into national legislative, administrative and institutional frameworks, including military operational documents and policy guidance interpreting existing IHL-related national laws.</w:t>
      </w:r>
    </w:p>
    <w:p>
      <w:pPr>
        <w:pStyle w:val="ListParagraph"/>
        <w:numPr>
          <w:ilvl w:val="0"/>
          <w:numId w:val="6"/>
        </w:numPr>
        <w:autoSpaceDE w:val="0"/>
        <w:autoSpaceDN w:val="0"/>
        <w:adjustRightInd w:val="0"/>
        <w:spacing w:after="0" w:line="240" w:lineRule="auto"/>
        <w:jc w:val="both"/>
        <w:rPr>
          <w:rFonts w:eastAsia="Times New Roman" w:cstheme="minorHAnsi"/>
          <w:iCs/>
          <w:lang w:val="en-GB"/>
        </w:rPr>
      </w:pPr>
      <w:r>
        <w:rPr>
          <w:rFonts w:eastAsia="Times New Roman" w:cstheme="minorHAnsi"/>
          <w:iCs/>
          <w:lang w:val="en-GB"/>
        </w:rPr>
        <w:t>Number of actions taken by armed forces to incorporate IHL rules that protect the natural environment into military operational planning and the conduct of operations.</w:t>
      </w:r>
    </w:p>
    <w:p>
      <w:pPr>
        <w:pStyle w:val="ListParagraph"/>
        <w:numPr>
          <w:ilvl w:val="0"/>
          <w:numId w:val="6"/>
        </w:numPr>
        <w:autoSpaceDE w:val="0"/>
        <w:autoSpaceDN w:val="0"/>
        <w:adjustRightInd w:val="0"/>
        <w:spacing w:after="0" w:line="240" w:lineRule="auto"/>
        <w:jc w:val="both"/>
        <w:rPr>
          <w:rFonts w:eastAsia="Times New Roman" w:cstheme="minorHAnsi"/>
          <w:iCs/>
          <w:lang w:val="en-GB"/>
        </w:rPr>
      </w:pPr>
      <w:r>
        <w:rPr>
          <w:rFonts w:eastAsia="Times New Roman" w:cstheme="minorHAnsi"/>
          <w:iCs/>
          <w:lang w:val="en-GB"/>
        </w:rPr>
        <w:t>Number of military training sessions and exercises on the topic of IHL rules protecting the natural environment, including for armed forces’ legal advisers, and the number of people trained.</w:t>
      </w:r>
    </w:p>
    <w:p>
      <w:pPr>
        <w:pStyle w:val="ListParagraph"/>
        <w:numPr>
          <w:ilvl w:val="0"/>
          <w:numId w:val="6"/>
        </w:numPr>
        <w:autoSpaceDE w:val="0"/>
        <w:autoSpaceDN w:val="0"/>
        <w:adjustRightInd w:val="0"/>
        <w:spacing w:after="0" w:line="240" w:lineRule="auto"/>
        <w:jc w:val="both"/>
        <w:rPr>
          <w:rFonts w:eastAsia="Times New Roman" w:cstheme="minorHAnsi"/>
          <w:iCs/>
          <w:lang w:val="en-GB"/>
        </w:rPr>
      </w:pPr>
      <w:r>
        <w:rPr>
          <w:rFonts w:eastAsia="Times New Roman" w:cstheme="minorHAnsi"/>
          <w:iCs/>
          <w:lang w:val="en-GB"/>
        </w:rPr>
        <w:t>Number of measures taken by States, National Societies and/or observers to promote and teach IHL rules that protect the natural environment in armed conflicts to national authorities, other actors and to the general population.</w:t>
      </w:r>
    </w:p>
    <w:p>
      <w:pPr>
        <w:spacing w:after="0" w:line="240" w:lineRule="auto"/>
      </w:pPr>
    </w:p>
    <w:p>
      <w:pPr>
        <w:pStyle w:val="Heading2"/>
        <w:rPr>
          <w:lang w:val="en-GB"/>
        </w:rPr>
      </w:pPr>
      <w:r>
        <w:rPr>
          <w:lang w:val="en-GB"/>
        </w:rPr>
        <w:t>D. Resource implications</w:t>
      </w:r>
    </w:p>
    <w:p>
      <w:pPr>
        <w:pStyle w:val="Indent1"/>
        <w:tabs>
          <w:tab w:val="clear" w:pos="396"/>
        </w:tabs>
        <w:ind w:left="0" w:firstLine="0"/>
        <w:rPr>
          <w:rFonts w:asciiTheme="minorHAnsi" w:hAnsiTheme="minorHAnsi" w:cstheme="minorHAnsi"/>
          <w:iCs/>
          <w:sz w:val="22"/>
          <w:szCs w:val="22"/>
        </w:rPr>
      </w:pPr>
      <w:bookmarkStart w:id="10" w:name="_Hlk6309021"/>
      <w:r>
        <w:rPr>
          <w:rFonts w:asciiTheme="minorHAnsi" w:hAnsiTheme="minorHAnsi" w:cstheme="minorHAnsi"/>
          <w:iCs/>
          <w:sz w:val="22"/>
          <w:szCs w:val="22"/>
        </w:rPr>
        <w:t>The States and/or National Societies will determine the resources that may be required to carry out this pledge</w:t>
      </w:r>
      <w:bookmarkEnd w:id="10"/>
      <w:r>
        <w:rPr>
          <w:rFonts w:asciiTheme="minorHAnsi" w:hAnsiTheme="minorHAnsi" w:cstheme="minorHAnsi"/>
          <w:iCs/>
          <w:sz w:val="22"/>
          <w:szCs w:val="22"/>
        </w:rPr>
        <w:t xml:space="preserve"> based on the objectives and actions they choose to take in their specific context.</w:t>
      </w:r>
    </w:p>
    <w:p>
      <w:pPr>
        <w:pStyle w:val="Indent1"/>
        <w:tabs>
          <w:tab w:val="clear" w:pos="396"/>
        </w:tabs>
        <w:ind w:left="0" w:firstLine="0"/>
        <w:rPr>
          <w:rFonts w:asciiTheme="minorHAnsi" w:hAnsiTheme="minorHAnsi" w:cstheme="minorHAnsi"/>
          <w:iCs/>
          <w:sz w:val="22"/>
          <w:szCs w:val="22"/>
        </w:rPr>
      </w:pPr>
    </w:p>
    <w:p>
      <w:pPr>
        <w:pStyle w:val="Indent1"/>
        <w:tabs>
          <w:tab w:val="clear" w:pos="396"/>
        </w:tabs>
        <w:ind w:left="0" w:firstLine="0"/>
        <w:rPr>
          <w:rFonts w:asciiTheme="minorHAnsi" w:hAnsiTheme="minorHAnsi" w:cstheme="minorHAnsi"/>
          <w:b/>
          <w:bCs/>
          <w:iCs/>
          <w:sz w:val="22"/>
          <w:szCs w:val="22"/>
          <w:u w:val="single"/>
        </w:rPr>
      </w:pPr>
    </w:p>
    <w:p>
      <w:pPr>
        <w:pStyle w:val="Indent1"/>
        <w:tabs>
          <w:tab w:val="clear" w:pos="396"/>
        </w:tabs>
        <w:ind w:left="0" w:firstLine="0"/>
        <w:rPr>
          <w:rFonts w:asciiTheme="minorHAnsi" w:hAnsiTheme="minorHAnsi" w:cstheme="minorHAnsi"/>
          <w:iCs/>
          <w:sz w:val="22"/>
          <w:szCs w:val="22"/>
        </w:rPr>
      </w:pPr>
    </w:p>
    <w:sectPr>
      <w:headerReference w:type="default" r:id="rId19"/>
      <w:footerReference w:type="even" r:id="rId20"/>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8241" behindDoc="0" locked="0" layoutInCell="1" allowOverlap="1">
              <wp:simplePos x="635" y="635"/>
              <wp:positionH relativeFrom="page">
                <wp:align>left</wp:align>
              </wp:positionH>
              <wp:positionV relativeFrom="page">
                <wp:align>bottom</wp:align>
              </wp:positionV>
              <wp:extent cx="443865" cy="443865"/>
              <wp:effectExtent l="0" t="0" r="6985" b="0"/>
              <wp:wrapNone/>
              <wp:docPr id="277507190" name="Text Box 27750719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77507190"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8242" behindDoc="0" locked="0" layoutInCell="1" allowOverlap="1">
              <wp:simplePos x="899160" y="10073640"/>
              <wp:positionH relativeFrom="page">
                <wp:align>left</wp:align>
              </wp:positionH>
              <wp:positionV relativeFrom="page">
                <wp:align>bottom</wp:align>
              </wp:positionV>
              <wp:extent cx="443865" cy="443865"/>
              <wp:effectExtent l="0" t="0" r="6985" b="0"/>
              <wp:wrapNone/>
              <wp:docPr id="1090055566" name="Text Box 109005556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90055566"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8240" behindDoc="0" locked="0" layoutInCell="1" allowOverlap="1">
              <wp:simplePos x="635" y="635"/>
              <wp:positionH relativeFrom="page">
                <wp:align>left</wp:align>
              </wp:positionH>
              <wp:positionV relativeFrom="page">
                <wp:align>bottom</wp:align>
              </wp:positionV>
              <wp:extent cx="443865" cy="443865"/>
              <wp:effectExtent l="0" t="0" r="6985" b="0"/>
              <wp:wrapNone/>
              <wp:docPr id="1097972916" name="Text Box 10979729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97972916"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drawing>
        <wp:inline distT="0" distB="0" distL="0" distR="0">
          <wp:extent cx="2489703" cy="85372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278" cy="862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B58"/>
    <w:multiLevelType w:val="hybridMultilevel"/>
    <w:tmpl w:val="E3B6670E"/>
    <w:lvl w:ilvl="0" w:tplc="D160EBAC">
      <w:start w:val="1"/>
      <w:numFmt w:val="decimal"/>
      <w:lvlText w:val="%1."/>
      <w:lvlJc w:val="left"/>
      <w:pPr>
        <w:ind w:left="360" w:hanging="360"/>
      </w:pPr>
      <w:rPr>
        <w:rFonts w:asciiTheme="minorHAnsi" w:eastAsia="Times New Roman" w:hAnsiTheme="minorHAnsi" w:cstheme="minorHAnsi"/>
      </w:rPr>
    </w:lvl>
    <w:lvl w:ilvl="1" w:tplc="100C0001">
      <w:start w:val="1"/>
      <w:numFmt w:val="bullet"/>
      <w:lvlText w:val=""/>
      <w:lvlJc w:val="left"/>
      <w:pPr>
        <w:ind w:left="786" w:hanging="360"/>
      </w:pPr>
      <w:rPr>
        <w:rFonts w:ascii="Symbol" w:hAnsi="Symbol" w:hint="default"/>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411609"/>
    <w:multiLevelType w:val="multilevel"/>
    <w:tmpl w:val="FC1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C3ED6"/>
    <w:multiLevelType w:val="multilevel"/>
    <w:tmpl w:val="91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329B9"/>
    <w:multiLevelType w:val="multilevel"/>
    <w:tmpl w:val="9B6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D4E37"/>
    <w:multiLevelType w:val="hybridMultilevel"/>
    <w:tmpl w:val="AA54D6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EFC70E6"/>
    <w:multiLevelType w:val="hybridMultilevel"/>
    <w:tmpl w:val="DD22F7F8"/>
    <w:lvl w:ilvl="0" w:tplc="CE04FCFC">
      <w:start w:val="1"/>
      <w:numFmt w:val="decimal"/>
      <w:lvlText w:val="%1."/>
      <w:lvlJc w:val="left"/>
      <w:pPr>
        <w:ind w:left="720" w:hanging="360"/>
      </w:pPr>
      <w:rPr>
        <w:rFonts w:hint="default"/>
        <w:b/>
        <w:i w:val="0"/>
        <w:color w:val="auto"/>
      </w:rPr>
    </w:lvl>
    <w:lvl w:ilvl="1" w:tplc="FFFFFFFF">
      <w:start w:val="1"/>
      <w:numFmt w:val="bullet"/>
      <w:lvlText w:val="o"/>
      <w:lvlJc w:val="left"/>
      <w:pPr>
        <w:ind w:left="1440" w:hanging="360"/>
      </w:pPr>
      <w:rPr>
        <w:rFonts w:ascii="Courier New" w:hAnsi="Courier New" w:hint="default"/>
        <w:color w:val="2F5496" w:themeColor="accent1" w:themeShade="BF"/>
      </w:rPr>
    </w:lvl>
    <w:lvl w:ilvl="2" w:tplc="8A64C106">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610D6D"/>
    <w:multiLevelType w:val="hybridMultilevel"/>
    <w:tmpl w:val="7EA862A8"/>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780B0950"/>
    <w:multiLevelType w:val="hybridMultilevel"/>
    <w:tmpl w:val="8DF457BA"/>
    <w:lvl w:ilvl="0" w:tplc="58F897C2">
      <w:start w:val="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AAE389C"/>
    <w:multiLevelType w:val="hybridMultilevel"/>
    <w:tmpl w:val="EE48C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D1B3C94"/>
    <w:multiLevelType w:val="hybridMultilevel"/>
    <w:tmpl w:val="3244D22A"/>
    <w:lvl w:ilvl="0" w:tplc="67EE8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8445111">
    <w:abstractNumId w:val="7"/>
  </w:num>
  <w:num w:numId="2" w16cid:durableId="161825086">
    <w:abstractNumId w:val="5"/>
  </w:num>
  <w:num w:numId="3" w16cid:durableId="1086221978">
    <w:abstractNumId w:val="4"/>
  </w:num>
  <w:num w:numId="4" w16cid:durableId="405108221">
    <w:abstractNumId w:val="10"/>
  </w:num>
  <w:num w:numId="5" w16cid:durableId="1942758862">
    <w:abstractNumId w:val="6"/>
  </w:num>
  <w:num w:numId="6" w16cid:durableId="1911453254">
    <w:abstractNumId w:val="8"/>
  </w:num>
  <w:num w:numId="7" w16cid:durableId="1180462108">
    <w:abstractNumId w:val="12"/>
  </w:num>
  <w:num w:numId="8" w16cid:durableId="730277004">
    <w:abstractNumId w:val="0"/>
  </w:num>
  <w:num w:numId="9" w16cid:durableId="1807431701">
    <w:abstractNumId w:val="9"/>
  </w:num>
  <w:num w:numId="10" w16cid:durableId="779254860">
    <w:abstractNumId w:val="3"/>
  </w:num>
  <w:num w:numId="11" w16cid:durableId="275646553">
    <w:abstractNumId w:val="2"/>
  </w:num>
  <w:num w:numId="12" w16cid:durableId="1664972163">
    <w:abstractNumId w:val="1"/>
  </w:num>
  <w:num w:numId="13" w16cid:durableId="834537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0E01-A273-4678-9CF2-2471B7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DefaultText"/>
    <w:next w:val="Normal"/>
    <w:link w:val="Heading1Char"/>
    <w:uiPriority w:val="9"/>
    <w:qFormat/>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pPr>
      <w:keepNext/>
      <w:keepLines/>
      <w:outlineLvl w:val="1"/>
    </w:pPr>
    <w:rPr>
      <w:rFonts w:eastAsiaTheme="majorEastAsia" w:cstheme="minorHAnsi"/>
      <w:b/>
      <w:bCs/>
      <w:lang w:val="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heme="majorEastAsia" w:cstheme="minorHAnsi"/>
      <w:b/>
      <w:bCs/>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Text">
    <w:name w:val="Default Text"/>
    <w:basedOn w:val="Normal"/>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aliases w:val="Footnote Text Char Char Char,Footnote Text Char Char Char Char,Footnote Text Char Char Char Char Char,Footnote Text Char Char Char Char Char Char,Footnote Text Char Char Char Char Char Char Char Char Char Char,FA Fu,FA Fußnotentext,F,FA,Ca"/>
    <w:basedOn w:val="Normal"/>
    <w:link w:val="FootnoteTextChar"/>
    <w:uiPriority w:val="99"/>
    <w:qFormat/>
    <w:pPr>
      <w:spacing w:after="0" w:line="240" w:lineRule="auto"/>
    </w:pPr>
    <w:rPr>
      <w:rFonts w:ascii="Times New Roman" w:eastAsia="Times New Roman" w:hAnsi="Times New Roman" w:cs="Times New Roman"/>
      <w:sz w:val="20"/>
      <w:szCs w:val="20"/>
      <w:lang w:val="x-none" w:eastAsia="fr-CH"/>
    </w:rPr>
  </w:style>
  <w:style w:type="character" w:customStyle="1" w:styleId="FootnoteTextChar">
    <w:name w:val="Footnote Text Char"/>
    <w:aliases w:val="Footnote Text Char Char Char Char1,Footnote Text Char Char Char Char Char1,Footnote Text Char Char Char Char Char Char1,Footnote Text Char Char Char Char Char Char Char,FA Fu Char,FA Fußnotentext Char,F Char,FA Char,Ca Char"/>
    <w:basedOn w:val="DefaultParagraphFont"/>
    <w:link w:val="FootnoteText"/>
    <w:uiPriority w:val="99"/>
    <w:qFormat/>
    <w:rPr>
      <w:rFonts w:ascii="Times New Roman" w:eastAsia="Times New Roman" w:hAnsi="Times New Roman" w:cs="Times New Roman"/>
      <w:sz w:val="20"/>
      <w:szCs w:val="20"/>
      <w:lang w:val="x-none" w:eastAsia="fr-CH"/>
    </w:rPr>
  </w:style>
  <w:style w:type="character" w:styleId="FootnoteReference">
    <w:name w:val="footnote reference"/>
    <w:aliases w:val="WGS,Footnote Reference Char Char Char Char Char Char Char Char Char Char Char,Carattere Char Carattere Carattere Char Carattere Char Carattere Char Char Char1 Char Char Char Char Char Char Char Char Char Char Char Char Char Char,4_G,f"/>
    <w:link w:val="Appelnotedebasde"/>
    <w:uiPriority w:val="99"/>
    <w:qFormat/>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pPr>
      <w:numPr>
        <w:numId w:val="1"/>
      </w:numPr>
      <w:spacing w:before="120" w:after="120" w:line="240" w:lineRule="auto"/>
      <w:jc w:val="both"/>
    </w:pPr>
    <w:rPr>
      <w:vertAlign w:val="superscript"/>
    </w:rPr>
  </w:style>
  <w:style w:type="character" w:customStyle="1" w:styleId="type">
    <w:name w:val="type"/>
    <w:basedOn w:val="DefaultParagraphFont"/>
  </w:style>
  <w:style w:type="character" w:customStyle="1" w:styleId="Date1">
    <w:name w:val="Date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show-for-sr">
    <w:name w:val="show-for-s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pPr>
      <w:ind w:left="720"/>
      <w:contextualSpacing/>
    </w:pPr>
    <w:rPr>
      <w:rFonts w:eastAsia="SimSun"/>
      <w:lang w:val="en-C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Pr>
      <w:rFonts w:eastAsia="SimSun"/>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Arial" w:eastAsia="Times New Roman"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bregon@icrc.org" TargetMode="External"/><Relationship Id="rId18" Type="http://schemas.openxmlformats.org/officeDocument/2006/relationships/hyperlink" Target="https://www.icrc.org/en/document/chairs-summary-report-state-expert-meeting-ihl-protecting-natural-environment-arm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limate-charter.org/guidance/" TargetMode="External"/><Relationship Id="rId2" Type="http://schemas.openxmlformats.org/officeDocument/2006/relationships/customXml" Target="../customXml/item2.xml"/><Relationship Id="rId16" Type="http://schemas.openxmlformats.org/officeDocument/2006/relationships/hyperlink" Target="https://digitallibrary.un.org/record/3998322?v=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hop.icrc.org/guidelines-on-the-protection-of-the-natural-environment-in-armed-conflict-pdf-en.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murphy@icrc.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B973AF-1DBE-47AD-AB24-1F631F3F03A5}">
  <ds:schemaRefs>
    <ds:schemaRef ds:uri="Microsoft.SharePoint.Taxonomy.ContentTypeSync"/>
  </ds:schemaRefs>
</ds:datastoreItem>
</file>

<file path=customXml/itemProps2.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customXml/itemProps3.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F3FD7-82D4-4E6B-8B2F-709820DDDBAE}">
  <ds:schemaRefs>
    <ds:schemaRef ds:uri="http://schemas.openxmlformats.org/package/2006/metadata/core-properties"/>
    <ds:schemaRef ds:uri="http://schemas.microsoft.com/sharepoint/v3"/>
    <ds:schemaRef ds:uri="http://www.w3.org/XML/1998/namespace"/>
    <ds:schemaRef ds:uri="a8a2af44-4b8d-404b-a8bd-4186350a523c"/>
    <ds:schemaRef ds:uri="http://schemas.microsoft.com/office/2006/documentManagement/types"/>
    <ds:schemaRef ds:uri="c40b0493-c1b9-4c2c-bbab-062dda7910f3"/>
    <ds:schemaRef ds:uri="http://schemas.microsoft.com/office/2006/metadata/properties"/>
    <ds:schemaRef ds:uri="http://purl.org/dc/dcmitype/"/>
    <ds:schemaRef ds:uri="http://purl.org/dc/elements/1.1/"/>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BD57E556-900E-48FE-8A5A-0E0DFE7E5615}">
  <ds:schemaRefs>
    <ds:schemaRef ds:uri="http://schemas.microsoft.com/sharepoint/v3/contenttype/forms"/>
  </ds:schemaRefs>
</ds:datastoreItem>
</file>

<file path=customXml/itemProps6.xml><?xml version="1.0" encoding="utf-8"?>
<ds:datastoreItem xmlns:ds="http://schemas.openxmlformats.org/officeDocument/2006/customXml" ds:itemID="{B7747F40-C819-4CD8-81F2-24B6E1B6C5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Draft Model Pledge on the Protection of the Natural Environment in Armed Conflict for 34th IC</vt:lpstr>
    </vt:vector>
  </TitlesOfParts>
  <Company>ICRC</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subject/>
  <dc:creator>HOBR</dc:creator>
  <cp:keywords/>
  <dc:description/>
  <cp:lastModifiedBy>Stuart Coe</cp:lastModifiedBy>
  <cp:revision>2</cp:revision>
  <cp:lastPrinted>2024-04-23T13:37:00Z</cp:lastPrinted>
  <dcterms:created xsi:type="dcterms:W3CDTF">2024-06-28T13:13:00Z</dcterms:created>
  <dcterms:modified xsi:type="dcterms:W3CDTF">2024-06-28T13:13:00Z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