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8C1" w14:textId="23E0E5B4" w:rsidR="005B3E84" w:rsidRPr="003D0577" w:rsidRDefault="0006093B" w:rsidP="006526F3">
      <w:pPr>
        <w:pStyle w:val="Title"/>
        <w:ind w:left="720" w:hanging="720"/>
        <w:jc w:val="center"/>
        <w:rPr>
          <w:rStyle w:val="Strong"/>
          <w:rFonts w:ascii="Sylfaen" w:hAnsi="Sylfaen"/>
          <w:sz w:val="36"/>
          <w:szCs w:val="36"/>
        </w:rPr>
      </w:pPr>
      <w:bookmarkStart w:id="0" w:name="_GoBack"/>
      <w:bookmarkEnd w:id="0"/>
      <w:r w:rsidRPr="003D0577">
        <w:rPr>
          <w:rFonts w:ascii="Sylfaen" w:hAnsi="Sylfaen"/>
          <w:b/>
          <w:bCs/>
          <w:noProof/>
          <w:sz w:val="36"/>
          <w:szCs w:val="36"/>
        </w:rPr>
        <w:drawing>
          <wp:inline distT="0" distB="0" distL="0" distR="0" wp14:anchorId="05D8DCF9" wp14:editId="6263A09C">
            <wp:extent cx="3130550" cy="794678"/>
            <wp:effectExtent l="0" t="0" r="0" b="571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37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D131" w14:textId="7C419590" w:rsidR="005B3E84" w:rsidRPr="003D0577" w:rsidRDefault="005B3E84" w:rsidP="005B3E84">
      <w:pPr>
        <w:rPr>
          <w:rFonts w:ascii="Sylfaen" w:hAnsi="Sylfaen"/>
        </w:rPr>
      </w:pPr>
    </w:p>
    <w:p w14:paraId="7B13BCDB" w14:textId="77777777" w:rsidR="00E848EA" w:rsidRPr="003D0577" w:rsidRDefault="00E848EA" w:rsidP="005B3E84">
      <w:pPr>
        <w:rPr>
          <w:rFonts w:ascii="Sylfaen" w:hAnsi="Sylfaen"/>
        </w:rPr>
      </w:pPr>
    </w:p>
    <w:p w14:paraId="332D4ED9" w14:textId="75E2AB27" w:rsidR="003E3291" w:rsidRPr="003D0577" w:rsidRDefault="003E3291" w:rsidP="005B3E84">
      <w:pPr>
        <w:jc w:val="center"/>
        <w:rPr>
          <w:rStyle w:val="Strong"/>
          <w:rFonts w:ascii="Sylfaen" w:hAnsi="Sylfaen"/>
          <w:b w:val="0"/>
          <w:bCs w:val="0"/>
          <w:sz w:val="32"/>
          <w:szCs w:val="32"/>
        </w:rPr>
      </w:pPr>
      <w:proofErr w:type="gramStart"/>
      <w:r w:rsidRPr="003D0577">
        <w:rPr>
          <w:rStyle w:val="Strong"/>
          <w:rFonts w:ascii="Sylfaen" w:hAnsi="Sylfaen"/>
          <w:b w:val="0"/>
          <w:bCs w:val="0"/>
          <w:sz w:val="32"/>
          <w:szCs w:val="32"/>
        </w:rPr>
        <w:t>33rd</w:t>
      </w:r>
      <w:proofErr w:type="gramEnd"/>
      <w:r w:rsidRPr="003D0577">
        <w:rPr>
          <w:rStyle w:val="Strong"/>
          <w:rFonts w:ascii="Sylfaen" w:hAnsi="Sylfaen"/>
          <w:b w:val="0"/>
          <w:bCs w:val="0"/>
          <w:sz w:val="32"/>
          <w:szCs w:val="32"/>
        </w:rPr>
        <w:t xml:space="preserve"> International Conference of the Red Cross and Red Crescent</w:t>
      </w:r>
    </w:p>
    <w:p w14:paraId="13CCEDB6" w14:textId="77777777" w:rsidR="005B3E84" w:rsidRPr="003D0577" w:rsidRDefault="005B3E84" w:rsidP="005B3E84">
      <w:pPr>
        <w:jc w:val="center"/>
        <w:rPr>
          <w:rStyle w:val="Strong"/>
          <w:rFonts w:ascii="Sylfaen" w:hAnsi="Sylfaen"/>
          <w:sz w:val="32"/>
          <w:szCs w:val="32"/>
        </w:rPr>
      </w:pPr>
    </w:p>
    <w:p w14:paraId="375D12F4" w14:textId="08BB63EC" w:rsidR="003E3291" w:rsidRPr="003D0577" w:rsidRDefault="006C105B" w:rsidP="005B3E84">
      <w:pPr>
        <w:pStyle w:val="Subtitle"/>
        <w:jc w:val="center"/>
        <w:rPr>
          <w:rStyle w:val="Strong"/>
          <w:rFonts w:ascii="Sylfaen" w:hAnsi="Sylfaen"/>
          <w:sz w:val="32"/>
          <w:szCs w:val="32"/>
        </w:rPr>
      </w:pPr>
      <w:r w:rsidRPr="003D0577">
        <w:rPr>
          <w:rStyle w:val="Strong"/>
          <w:rFonts w:ascii="Sylfaen" w:hAnsi="Sylfaen"/>
          <w:sz w:val="32"/>
          <w:szCs w:val="32"/>
        </w:rPr>
        <w:t xml:space="preserve">Resolution </w:t>
      </w:r>
      <w:r w:rsidR="001D45FF" w:rsidRPr="003D0577">
        <w:rPr>
          <w:rStyle w:val="Strong"/>
          <w:rFonts w:ascii="Sylfaen" w:hAnsi="Sylfaen"/>
          <w:sz w:val="32"/>
          <w:szCs w:val="32"/>
        </w:rPr>
        <w:t>R</w:t>
      </w:r>
      <w:r w:rsidRPr="003D0577">
        <w:rPr>
          <w:rStyle w:val="Strong"/>
          <w:rFonts w:ascii="Sylfaen" w:hAnsi="Sylfaen"/>
          <w:sz w:val="32"/>
          <w:szCs w:val="32"/>
        </w:rPr>
        <w:t xml:space="preserve">eporting </w:t>
      </w:r>
      <w:r w:rsidR="001D45FF" w:rsidRPr="003D0577">
        <w:rPr>
          <w:rStyle w:val="Strong"/>
          <w:rFonts w:ascii="Sylfaen" w:hAnsi="Sylfaen"/>
          <w:sz w:val="32"/>
          <w:szCs w:val="32"/>
        </w:rPr>
        <w:t>F</w:t>
      </w:r>
      <w:r w:rsidRPr="003D0577">
        <w:rPr>
          <w:rStyle w:val="Strong"/>
          <w:rFonts w:ascii="Sylfaen" w:hAnsi="Sylfaen"/>
          <w:sz w:val="32"/>
          <w:szCs w:val="32"/>
        </w:rPr>
        <w:t xml:space="preserve">orm </w:t>
      </w:r>
    </w:p>
    <w:p w14:paraId="325F26E0" w14:textId="7538B499" w:rsidR="003D72D0" w:rsidRDefault="00A757A0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  <w:r w:rsidRPr="003D0577">
        <w:rPr>
          <w:rFonts w:ascii="Sylfaen" w:hAnsi="Sylfaen"/>
          <w:bCs/>
          <w:color w:val="FF0000"/>
          <w:sz w:val="24"/>
          <w:szCs w:val="24"/>
        </w:rPr>
        <w:t>(</w:t>
      </w:r>
      <w:r w:rsidR="003D72D0" w:rsidRPr="003D0577">
        <w:rPr>
          <w:rFonts w:ascii="Sylfaen" w:hAnsi="Sylfaen"/>
          <w:bCs/>
          <w:i/>
          <w:iCs/>
          <w:color w:val="FF0000"/>
          <w:sz w:val="24"/>
          <w:szCs w:val="24"/>
        </w:rPr>
        <w:t xml:space="preserve">For your reference and internal use only. Please note that all reports need to </w:t>
      </w:r>
      <w:proofErr w:type="gramStart"/>
      <w:r w:rsidR="003D72D0" w:rsidRPr="003D0577">
        <w:rPr>
          <w:rFonts w:ascii="Sylfaen" w:hAnsi="Sylfaen"/>
          <w:bCs/>
          <w:i/>
          <w:iCs/>
          <w:color w:val="FF0000"/>
          <w:sz w:val="24"/>
          <w:szCs w:val="24"/>
        </w:rPr>
        <w:t>be submitted</w:t>
      </w:r>
      <w:proofErr w:type="gramEnd"/>
      <w:r w:rsidR="003D72D0" w:rsidRPr="003D0577">
        <w:rPr>
          <w:rFonts w:ascii="Sylfaen" w:hAnsi="Sylfaen"/>
          <w:bCs/>
          <w:i/>
          <w:iCs/>
          <w:color w:val="FF0000"/>
          <w:sz w:val="24"/>
          <w:szCs w:val="24"/>
        </w:rPr>
        <w:t xml:space="preserve"> via the </w:t>
      </w:r>
      <w:hyperlink r:id="rId9" w:history="1">
        <w:r w:rsidR="003D72D0" w:rsidRPr="003D0577">
          <w:rPr>
            <w:rStyle w:val="Hyperlink"/>
            <w:rFonts w:ascii="Sylfaen" w:hAnsi="Sylfaen"/>
            <w:bCs/>
            <w:i/>
            <w:iCs/>
            <w:sz w:val="24"/>
            <w:szCs w:val="24"/>
          </w:rPr>
          <w:t>online reporting form</w:t>
        </w:r>
      </w:hyperlink>
      <w:r w:rsidR="003D72D0" w:rsidRPr="003D0577">
        <w:rPr>
          <w:rFonts w:ascii="Sylfaen" w:hAnsi="Sylfaen"/>
          <w:bCs/>
          <w:color w:val="FF0000"/>
          <w:sz w:val="24"/>
          <w:szCs w:val="24"/>
        </w:rPr>
        <w:t>)</w:t>
      </w:r>
    </w:p>
    <w:p w14:paraId="1B75571B" w14:textId="6FEB2DB4" w:rsidR="002D409E" w:rsidRPr="003D0577" w:rsidRDefault="00A33195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  <w:r>
        <w:rPr>
          <w:rFonts w:ascii="Sylfaen" w:hAnsi="Sylfaen"/>
          <w:bCs/>
          <w:color w:val="FF0000"/>
          <w:sz w:val="24"/>
          <w:szCs w:val="24"/>
        </w:rPr>
        <w:t xml:space="preserve">Resolution </w:t>
      </w:r>
      <w:r w:rsidR="00144DF4">
        <w:rPr>
          <w:rFonts w:ascii="Sylfaen" w:hAnsi="Sylfaen"/>
          <w:bCs/>
          <w:color w:val="FF0000"/>
          <w:sz w:val="24"/>
          <w:szCs w:val="24"/>
        </w:rPr>
        <w:t>7</w:t>
      </w:r>
      <w:r w:rsidR="002D409E" w:rsidRPr="002D409E">
        <w:rPr>
          <w:rFonts w:ascii="Sylfaen" w:hAnsi="Sylfaen"/>
          <w:bCs/>
          <w:color w:val="FF0000"/>
          <w:sz w:val="24"/>
          <w:szCs w:val="24"/>
        </w:rPr>
        <w:t xml:space="preserve">: </w:t>
      </w:r>
      <w:r w:rsidR="00144DF4" w:rsidRPr="00144DF4">
        <w:rPr>
          <w:rFonts w:ascii="Sylfaen" w:hAnsi="Sylfaen"/>
          <w:bCs/>
          <w:color w:val="FF0000"/>
          <w:sz w:val="24"/>
          <w:szCs w:val="24"/>
        </w:rPr>
        <w:t>Disaster laws and policies that leave no one behind</w:t>
      </w:r>
    </w:p>
    <w:p w14:paraId="15ECE635" w14:textId="77777777" w:rsidR="00BE48C6" w:rsidRPr="003D0577" w:rsidRDefault="00BE48C6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</w:p>
    <w:p w14:paraId="1945F1B6" w14:textId="77777777" w:rsidR="003E3291" w:rsidRPr="003D0577" w:rsidRDefault="003E3291" w:rsidP="00943CEC">
      <w:pPr>
        <w:ind w:left="284" w:hanging="360"/>
        <w:contextualSpacing/>
        <w:textAlignment w:val="center"/>
        <w:rPr>
          <w:rFonts w:ascii="Sylfaen" w:hAnsi="Sylfaen"/>
        </w:rPr>
      </w:pPr>
    </w:p>
    <w:p w14:paraId="4B1ABF91" w14:textId="618D4897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Has your State/National Society/Institution</w:t>
      </w:r>
      <w:r w:rsidR="00D15568" w:rsidRPr="003D0577">
        <w:rPr>
          <w:rFonts w:ascii="Sylfaen" w:hAnsi="Sylfaen"/>
          <w:b/>
          <w:bCs/>
          <w:lang w:val="en-GB"/>
        </w:rPr>
        <w:t xml:space="preserve"> </w:t>
      </w:r>
      <w:r w:rsidR="00E7075D" w:rsidRPr="003D0577">
        <w:rPr>
          <w:rFonts w:ascii="Sylfaen" w:hAnsi="Sylfaen"/>
          <w:b/>
          <w:bCs/>
          <w:lang w:val="en-GB"/>
        </w:rPr>
        <w:t>incorporated the commitments</w:t>
      </w:r>
      <w:r w:rsidR="00B24EE1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 resolution</w:t>
      </w:r>
      <w:r w:rsidR="007F470B" w:rsidRPr="003D0577">
        <w:rPr>
          <w:rFonts w:ascii="Sylfaen" w:hAnsi="Sylfaen"/>
          <w:b/>
          <w:bCs/>
          <w:lang w:val="en-GB"/>
        </w:rPr>
        <w:t xml:space="preserve"> </w:t>
      </w:r>
      <w:r w:rsidR="0057585D" w:rsidRPr="003D0577">
        <w:rPr>
          <w:rFonts w:ascii="Sylfaen" w:hAnsi="Sylfaen"/>
          <w:b/>
          <w:bCs/>
          <w:lang w:val="en-GB"/>
        </w:rPr>
        <w:t>into the relevant strategic or operational plans</w:t>
      </w:r>
      <w:r w:rsidR="00D15568" w:rsidRPr="003D0577">
        <w:rPr>
          <w:rFonts w:ascii="Sylfaen" w:hAnsi="Sylfaen"/>
          <w:b/>
          <w:bCs/>
          <w:lang w:val="en-GB"/>
        </w:rPr>
        <w:t>?</w:t>
      </w:r>
      <w:r w:rsidRPr="003D0577">
        <w:rPr>
          <w:rFonts w:ascii="Sylfaen" w:hAnsi="Sylfaen"/>
          <w:b/>
          <w:bCs/>
          <w:lang w:val="en-GB"/>
        </w:rPr>
        <w:t xml:space="preserve"> </w:t>
      </w:r>
    </w:p>
    <w:p w14:paraId="175C43F7" w14:textId="77777777" w:rsidR="00943CEC" w:rsidRPr="003D0577" w:rsidRDefault="00943CEC" w:rsidP="00943CEC">
      <w:pPr>
        <w:ind w:left="284"/>
        <w:contextualSpacing/>
        <w:textAlignment w:val="center"/>
        <w:rPr>
          <w:rFonts w:ascii="Sylfaen" w:hAnsi="Sylfaen"/>
          <w:lang w:val="en-GB"/>
        </w:rPr>
      </w:pPr>
    </w:p>
    <w:p w14:paraId="5C33F078" w14:textId="0FE88418" w:rsidR="006F41AB" w:rsidRPr="003D0577" w:rsidRDefault="00E33A20" w:rsidP="00943CEC">
      <w:pPr>
        <w:ind w:left="284"/>
        <w:textAlignment w:val="center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Y</w:t>
      </w:r>
      <w:r w:rsidR="006F41AB" w:rsidRPr="003D0577">
        <w:rPr>
          <w:rFonts w:ascii="Sylfaen" w:hAnsi="Sylfaen"/>
          <w:lang w:val="en-GB"/>
        </w:rPr>
        <w:t xml:space="preserve">es </w:t>
      </w:r>
    </w:p>
    <w:p w14:paraId="02CC2033" w14:textId="6BFBFF92" w:rsidR="001E718A" w:rsidRPr="003D0577" w:rsidRDefault="001E718A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399C6620" w14:textId="767B19F5" w:rsidR="001E718A" w:rsidRPr="00E33A20" w:rsidRDefault="00E33A20" w:rsidP="001E718A">
      <w:pPr>
        <w:ind w:left="284"/>
        <w:textAlignment w:val="center"/>
        <w:rPr>
          <w:rFonts w:ascii="Sylfaen" w:hAnsi="Sylfaen"/>
          <w:b/>
          <w:lang w:val="en-GB"/>
        </w:rPr>
      </w:pPr>
      <w:r w:rsidRPr="00E33A20">
        <w:rPr>
          <w:rFonts w:ascii="Sylfaen" w:hAnsi="Sylfaen"/>
          <w:b/>
          <w:lang w:val="en-GB"/>
        </w:rPr>
        <w:t xml:space="preserve">The commitments </w:t>
      </w:r>
      <w:proofErr w:type="gramStart"/>
      <w:r w:rsidRPr="00E33A20">
        <w:rPr>
          <w:rFonts w:ascii="Sylfaen" w:hAnsi="Sylfaen"/>
          <w:b/>
          <w:lang w:val="en-GB"/>
        </w:rPr>
        <w:t>are incorporated</w:t>
      </w:r>
      <w:proofErr w:type="gramEnd"/>
      <w:r w:rsidRPr="00E33A20">
        <w:rPr>
          <w:rFonts w:ascii="Sylfaen" w:hAnsi="Sylfaen"/>
          <w:b/>
          <w:lang w:val="en-GB"/>
        </w:rPr>
        <w:t xml:space="preserve"> into:</w:t>
      </w:r>
    </w:p>
    <w:p w14:paraId="6B9FCB4E" w14:textId="77777777" w:rsidR="00E33A20" w:rsidRPr="003D0577" w:rsidRDefault="00E33A20" w:rsidP="001E718A">
      <w:pPr>
        <w:ind w:left="284"/>
        <w:textAlignment w:val="center"/>
        <w:rPr>
          <w:rFonts w:ascii="Sylfaen" w:hAnsi="Sylfaen"/>
          <w:lang w:val="en-GB"/>
        </w:rPr>
      </w:pPr>
    </w:p>
    <w:p w14:paraId="64BB138B" w14:textId="3D9A77F4" w:rsidR="00943CEC" w:rsidRPr="003D0577" w:rsidRDefault="003164D7" w:rsidP="003D0577">
      <w:pPr>
        <w:pStyle w:val="ListParagraph"/>
        <w:numPr>
          <w:ilvl w:val="0"/>
          <w:numId w:val="8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O</w:t>
      </w:r>
      <w:r w:rsidR="001E718A" w:rsidRPr="003D0577">
        <w:rPr>
          <w:rFonts w:ascii="Sylfaen" w:hAnsi="Sylfaen"/>
          <w:lang w:val="en-GB"/>
        </w:rPr>
        <w:t>perational plan</w:t>
      </w:r>
      <w:r w:rsidR="00394789" w:rsidRPr="003D0577">
        <w:rPr>
          <w:rFonts w:ascii="Sylfaen" w:hAnsi="Sylfaen"/>
          <w:lang w:val="en-GB"/>
        </w:rPr>
        <w:t xml:space="preserve"> / Roadmap</w:t>
      </w:r>
      <w:r w:rsidR="003D0577" w:rsidRPr="003D0577">
        <w:rPr>
          <w:rFonts w:ascii="Sylfaen" w:hAnsi="Sylfaen"/>
          <w:lang w:val="en-GB"/>
        </w:rPr>
        <w:t xml:space="preserve"> (</w:t>
      </w:r>
      <w:r w:rsidR="003D0577" w:rsidRPr="003D0577">
        <w:rPr>
          <w:rFonts w:ascii="Sylfaen" w:hAnsi="Sylfaen"/>
        </w:rPr>
        <w:t>IHL Action Plan, adopted by the IHL Inter-Agency Commission)</w:t>
      </w:r>
    </w:p>
    <w:p w14:paraId="5CFD1645" w14:textId="77777777" w:rsidR="00E16BAF" w:rsidRPr="003D0577" w:rsidRDefault="00E16BAF" w:rsidP="001E718A">
      <w:pPr>
        <w:ind w:left="284"/>
        <w:textAlignment w:val="center"/>
        <w:rPr>
          <w:rFonts w:ascii="Sylfaen" w:hAnsi="Sylfaen"/>
          <w:lang w:val="en-GB"/>
        </w:rPr>
      </w:pPr>
    </w:p>
    <w:p w14:paraId="3252FEF0" w14:textId="459925FC" w:rsidR="006D273E" w:rsidRPr="00E33A20" w:rsidRDefault="00E33A20" w:rsidP="00E33A20">
      <w:pPr>
        <w:ind w:firstLine="284"/>
        <w:textAlignment w:val="center"/>
        <w:rPr>
          <w:rFonts w:ascii="Sylfaen" w:hAnsi="Sylfaen"/>
          <w:lang w:val="en-GB"/>
        </w:rPr>
      </w:pPr>
      <w:r w:rsidRPr="00E33A20">
        <w:rPr>
          <w:rFonts w:ascii="Sylfaen" w:hAnsi="Sylfaen"/>
          <w:lang w:val="en-GB"/>
        </w:rPr>
        <w:t>At the National level</w:t>
      </w:r>
    </w:p>
    <w:p w14:paraId="07B67891" w14:textId="217DFE19" w:rsidR="00A45899" w:rsidRPr="003D0577" w:rsidRDefault="00A45899" w:rsidP="003A707F">
      <w:pPr>
        <w:pStyle w:val="ListParagraph"/>
        <w:ind w:left="644"/>
        <w:textAlignment w:val="center"/>
        <w:rPr>
          <w:rFonts w:ascii="Sylfaen" w:hAnsi="Sylfaen"/>
          <w:lang w:val="en-GB"/>
        </w:rPr>
      </w:pPr>
    </w:p>
    <w:p w14:paraId="5B6E23BC" w14:textId="7195DB1F" w:rsidR="00943CEC" w:rsidRDefault="003D0577" w:rsidP="003D0577">
      <w:pPr>
        <w:ind w:firstLine="284"/>
        <w:textAlignment w:val="center"/>
        <w:rPr>
          <w:rFonts w:ascii="Sylfaen" w:hAnsi="Sylfaen"/>
          <w:b/>
          <w:lang w:val="en-GB"/>
        </w:rPr>
      </w:pPr>
      <w:r w:rsidRPr="003D0577">
        <w:rPr>
          <w:rFonts w:ascii="Sylfaen" w:hAnsi="Sylfaen"/>
          <w:b/>
          <w:lang w:val="en-GB"/>
        </w:rPr>
        <w:t>Explanation:</w:t>
      </w:r>
    </w:p>
    <w:p w14:paraId="3EA73763" w14:textId="77777777" w:rsidR="009C4A77" w:rsidRPr="009C4A77" w:rsidRDefault="009C4A77" w:rsidP="009C4A77">
      <w:pPr>
        <w:ind w:left="284"/>
        <w:textAlignment w:val="center"/>
        <w:rPr>
          <w:rFonts w:ascii="Sylfaen" w:hAnsi="Sylfaen"/>
          <w:lang w:val="en-GB"/>
        </w:rPr>
      </w:pPr>
    </w:p>
    <w:p w14:paraId="40874F45" w14:textId="00DB18F2" w:rsidR="009C4A77" w:rsidRDefault="00144DF4" w:rsidP="00284490">
      <w:pPr>
        <w:ind w:left="284"/>
        <w:jc w:val="both"/>
        <w:textAlignment w:val="center"/>
        <w:rPr>
          <w:rFonts w:ascii="Sylfaen" w:hAnsi="Sylfaen"/>
          <w:lang w:val="en-GB"/>
        </w:rPr>
      </w:pPr>
      <w:r w:rsidRPr="00144DF4">
        <w:rPr>
          <w:rFonts w:ascii="Sylfaen" w:hAnsi="Sylfaen"/>
          <w:lang w:val="en-GB"/>
        </w:rPr>
        <w:t>During the reporting period</w:t>
      </w:r>
      <w:r w:rsidR="00284490">
        <w:rPr>
          <w:rFonts w:ascii="Sylfaen" w:hAnsi="Sylfaen"/>
          <w:lang w:val="en-GB"/>
        </w:rPr>
        <w:t xml:space="preserve"> set by the IHL Implementation Action plan</w:t>
      </w:r>
      <w:r w:rsidRPr="00144DF4">
        <w:rPr>
          <w:rFonts w:ascii="Sylfaen" w:hAnsi="Sylfaen"/>
          <w:lang w:val="en-GB"/>
        </w:rPr>
        <w:t>, within the framework of the project financed by the Green Climate Fund (GCF), in order to improve the prediction and early warning systems of natural events:</w:t>
      </w:r>
    </w:p>
    <w:p w14:paraId="7C74FD71" w14:textId="2F2BCC7E" w:rsidR="00144DF4" w:rsidRDefault="00144DF4" w:rsidP="00284490">
      <w:pPr>
        <w:ind w:left="284"/>
        <w:jc w:val="both"/>
        <w:textAlignment w:val="center"/>
        <w:rPr>
          <w:rFonts w:ascii="Sylfaen" w:hAnsi="Sylfaen"/>
        </w:rPr>
      </w:pPr>
    </w:p>
    <w:p w14:paraId="3E50BBBD" w14:textId="0320A23F" w:rsidR="00144DF4" w:rsidRDefault="00144DF4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proofErr w:type="gramStart"/>
      <w:r w:rsidRPr="00144DF4">
        <w:rPr>
          <w:rFonts w:ascii="Sylfaen" w:hAnsi="Sylfaen"/>
        </w:rPr>
        <w:t>139</w:t>
      </w:r>
      <w:proofErr w:type="gramEnd"/>
      <w:r w:rsidRPr="00144DF4">
        <w:rPr>
          <w:rFonts w:ascii="Sylfaen" w:hAnsi="Sylfaen"/>
        </w:rPr>
        <w:t xml:space="preserve"> units of stationary automatic stations for meteorological and hydrological observation were purchased, among which </w:t>
      </w:r>
      <w:r w:rsidR="008A54CB">
        <w:rPr>
          <w:rFonts w:ascii="Sylfaen" w:hAnsi="Sylfaen"/>
        </w:rPr>
        <w:t>107</w:t>
      </w:r>
      <w:r w:rsidRPr="00144DF4">
        <w:rPr>
          <w:rFonts w:ascii="Sylfaen" w:hAnsi="Sylfaen"/>
        </w:rPr>
        <w:t xml:space="preserve"> units have already been installed in representative locations of Western Georgia. At present, </w:t>
      </w:r>
      <w:r w:rsidRPr="00314D3B">
        <w:rPr>
          <w:rFonts w:ascii="Sylfaen" w:hAnsi="Sylfaen"/>
        </w:rPr>
        <w:t xml:space="preserve">the </w:t>
      </w:r>
      <w:r w:rsidR="00284490" w:rsidRPr="00314D3B">
        <w:rPr>
          <w:rFonts w:ascii="Sylfaen" w:hAnsi="Sylfaen"/>
        </w:rPr>
        <w:t>process</w:t>
      </w:r>
      <w:r w:rsidR="00284490">
        <w:rPr>
          <w:rFonts w:ascii="Sylfaen" w:hAnsi="Sylfaen"/>
          <w:lang w:val="ka-GE"/>
        </w:rPr>
        <w:t xml:space="preserve"> </w:t>
      </w:r>
      <w:r w:rsidRPr="00144DF4">
        <w:rPr>
          <w:rFonts w:ascii="Sylfaen" w:hAnsi="Sylfaen"/>
        </w:rPr>
        <w:t xml:space="preserve">of their installation and integration into the information-telecommunication system </w:t>
      </w:r>
      <w:r w:rsidR="00284490">
        <w:rPr>
          <w:rFonts w:ascii="Sylfaen" w:hAnsi="Sylfaen"/>
        </w:rPr>
        <w:t>is</w:t>
      </w:r>
      <w:r w:rsidRPr="00144DF4">
        <w:rPr>
          <w:rFonts w:ascii="Sylfaen" w:hAnsi="Sylfaen"/>
        </w:rPr>
        <w:t xml:space="preserve"> actively being carried out in the rest of the country;</w:t>
      </w:r>
    </w:p>
    <w:p w14:paraId="336536A3" w14:textId="0B840466" w:rsidR="00144DF4" w:rsidRDefault="00144DF4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144DF4">
        <w:rPr>
          <w:rFonts w:ascii="Sylfaen" w:hAnsi="Sylfaen"/>
        </w:rPr>
        <w:t>A high performance computer (HPC) for the weather forecasting system has been purchased and is functioning properly;</w:t>
      </w:r>
    </w:p>
    <w:p w14:paraId="62A969C9" w14:textId="7A57DDC4" w:rsidR="00144DF4" w:rsidRDefault="00144DF4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144DF4">
        <w:rPr>
          <w:rFonts w:ascii="Sylfaen" w:hAnsi="Sylfaen"/>
        </w:rPr>
        <w:t xml:space="preserve">Modern information and communication technologies (ICT) maintenance and implementation </w:t>
      </w:r>
      <w:r w:rsidR="002F0F22">
        <w:rPr>
          <w:rFonts w:ascii="Sylfaen" w:hAnsi="Sylfaen"/>
        </w:rPr>
        <w:t>actions</w:t>
      </w:r>
      <w:r w:rsidRPr="00144DF4">
        <w:rPr>
          <w:rFonts w:ascii="Sylfaen" w:hAnsi="Sylfaen"/>
        </w:rPr>
        <w:t xml:space="preserve"> in the National Environment</w:t>
      </w:r>
      <w:r w:rsidR="002E6646">
        <w:rPr>
          <w:rFonts w:ascii="Sylfaen" w:hAnsi="Sylfaen"/>
        </w:rPr>
        <w:t>al</w:t>
      </w:r>
      <w:r w:rsidRPr="00144DF4">
        <w:rPr>
          <w:rFonts w:ascii="Sylfaen" w:hAnsi="Sylfaen"/>
        </w:rPr>
        <w:t xml:space="preserve"> Agency</w:t>
      </w:r>
      <w:r w:rsidR="002E6646">
        <w:rPr>
          <w:rFonts w:ascii="Sylfaen" w:hAnsi="Sylfaen"/>
        </w:rPr>
        <w:t xml:space="preserve"> (the Agency)</w:t>
      </w:r>
      <w:r w:rsidRPr="00144DF4">
        <w:rPr>
          <w:rFonts w:ascii="Sylfaen" w:hAnsi="Sylfaen"/>
        </w:rPr>
        <w:t xml:space="preserve"> were</w:t>
      </w:r>
      <w:r w:rsidR="002F0F22">
        <w:rPr>
          <w:rFonts w:ascii="Sylfaen" w:hAnsi="Sylfaen"/>
        </w:rPr>
        <w:t xml:space="preserve"> conducted;</w:t>
      </w:r>
    </w:p>
    <w:p w14:paraId="33597D55" w14:textId="1B48CB91" w:rsidR="00144DF4" w:rsidRDefault="00144DF4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144DF4">
        <w:rPr>
          <w:rFonts w:ascii="Sylfaen" w:hAnsi="Sylfaen"/>
        </w:rPr>
        <w:t>Within the framework</w:t>
      </w:r>
      <w:r w:rsidR="002F0F22">
        <w:rPr>
          <w:rFonts w:ascii="Sylfaen" w:hAnsi="Sylfaen"/>
        </w:rPr>
        <w:t xml:space="preserve"> of the project </w:t>
      </w:r>
      <w:r w:rsidRPr="00144DF4">
        <w:rPr>
          <w:rFonts w:ascii="Sylfaen" w:hAnsi="Sylfaen"/>
        </w:rPr>
        <w:t xml:space="preserve">2 high-resolution meteorological radars were installed, which cover most of the territory of Georgia. This significantly improved the </w:t>
      </w:r>
      <w:r w:rsidR="002F0F22">
        <w:rPr>
          <w:rFonts w:ascii="Sylfaen" w:hAnsi="Sylfaen"/>
        </w:rPr>
        <w:t>accuracy</w:t>
      </w:r>
      <w:r w:rsidRPr="00144DF4">
        <w:rPr>
          <w:rFonts w:ascii="Sylfaen" w:hAnsi="Sylfaen"/>
        </w:rPr>
        <w:t xml:space="preserve"> of predicting heavy precipitation and related floods;</w:t>
      </w:r>
    </w:p>
    <w:p w14:paraId="06F49875" w14:textId="4C00D0C1" w:rsidR="00144DF4" w:rsidRDefault="002E6646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>
        <w:rPr>
          <w:rFonts w:ascii="Sylfaen" w:hAnsi="Sylfaen"/>
        </w:rPr>
        <w:lastRenderedPageBreak/>
        <w:t>A</w:t>
      </w:r>
      <w:r w:rsidR="00144DF4" w:rsidRPr="00144DF4">
        <w:rPr>
          <w:rFonts w:ascii="Sylfaen" w:hAnsi="Sylfaen"/>
        </w:rPr>
        <w:t xml:space="preserve"> </w:t>
      </w:r>
      <w:proofErr w:type="gramStart"/>
      <w:r w:rsidR="00144DF4" w:rsidRPr="00144DF4">
        <w:rPr>
          <w:rFonts w:ascii="Sylfaen" w:hAnsi="Sylfaen"/>
        </w:rPr>
        <w:t>flood forecasting</w:t>
      </w:r>
      <w:proofErr w:type="gramEnd"/>
      <w:r w:rsidR="00144DF4" w:rsidRPr="00144DF4">
        <w:rPr>
          <w:rFonts w:ascii="Sylfaen" w:hAnsi="Sylfaen"/>
        </w:rPr>
        <w:t xml:space="preserve"> platform has been created, which</w:t>
      </w:r>
      <w:r>
        <w:rPr>
          <w:rFonts w:ascii="Sylfaen" w:hAnsi="Sylfaen"/>
        </w:rPr>
        <w:t xml:space="preserve"> currently operates</w:t>
      </w:r>
      <w:r w:rsidR="00144DF4" w:rsidRPr="00144DF4">
        <w:rPr>
          <w:rFonts w:ascii="Sylfaen" w:hAnsi="Sylfaen"/>
        </w:rPr>
        <w:t xml:space="preserve"> in test mode - the platform is undergoing calibration and verification</w:t>
      </w:r>
      <w:r>
        <w:rPr>
          <w:rFonts w:ascii="Sylfaen" w:hAnsi="Sylfaen"/>
        </w:rPr>
        <w:t xml:space="preserve"> and i</w:t>
      </w:r>
      <w:r w:rsidR="00144DF4" w:rsidRPr="00144DF4">
        <w:rPr>
          <w:rFonts w:ascii="Sylfaen" w:hAnsi="Sylfaen"/>
        </w:rPr>
        <w:t>mplementation of hydrological and hydraulic modeling is underway.</w:t>
      </w:r>
      <w:r>
        <w:rPr>
          <w:rFonts w:ascii="Sylfaen" w:hAnsi="Sylfaen"/>
        </w:rPr>
        <w:t xml:space="preserve"> In addition,</w:t>
      </w:r>
      <w:r w:rsidR="00144DF4" w:rsidRPr="00144DF4">
        <w:rPr>
          <w:rFonts w:ascii="Sylfaen" w:hAnsi="Sylfaen"/>
        </w:rPr>
        <w:t xml:space="preserve"> A flood modeling forecasting system has been implemented for the </w:t>
      </w:r>
      <w:r w:rsidR="00144DF4">
        <w:rPr>
          <w:rFonts w:ascii="Sylfaen" w:hAnsi="Sylfaen"/>
        </w:rPr>
        <w:t>river basins of Western Georgia;</w:t>
      </w:r>
    </w:p>
    <w:p w14:paraId="04EA32BC" w14:textId="043E5645" w:rsidR="00144DF4" w:rsidRDefault="00144DF4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144DF4">
        <w:rPr>
          <w:rFonts w:ascii="Sylfaen" w:hAnsi="Sylfaen"/>
        </w:rPr>
        <w:t xml:space="preserve">Georgia became a cooperating state of the European National Center for Medium-Term Weather Forecasts (ECMWF). The agency effectively uses the synoptic products provided by the organization in the process of preparing weather forecasts and warnings. </w:t>
      </w:r>
      <w:proofErr w:type="gramStart"/>
      <w:r w:rsidRPr="00144DF4">
        <w:rPr>
          <w:rFonts w:ascii="Sylfaen" w:hAnsi="Sylfaen"/>
        </w:rPr>
        <w:t>Also</w:t>
      </w:r>
      <w:proofErr w:type="gramEnd"/>
      <w:r w:rsidRPr="00144DF4">
        <w:rPr>
          <w:rFonts w:ascii="Sylfaen" w:hAnsi="Sylfaen"/>
        </w:rPr>
        <w:t>, in order to improve their qualifications, the employees of the agency have the opportunity to regularly participate in training courses planned by the organization.</w:t>
      </w:r>
    </w:p>
    <w:p w14:paraId="6680410C" w14:textId="2AF6E810" w:rsidR="00C26FCC" w:rsidRDefault="00C26FCC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C26FCC">
        <w:rPr>
          <w:rFonts w:ascii="Sylfaen" w:hAnsi="Sylfaen"/>
        </w:rPr>
        <w:t xml:space="preserve">Modern geological monitoring equipment </w:t>
      </w:r>
      <w:proofErr w:type="gramStart"/>
      <w:r w:rsidRPr="00C26FCC">
        <w:rPr>
          <w:rFonts w:ascii="Sylfaen" w:hAnsi="Sylfaen"/>
        </w:rPr>
        <w:t>was installed</w:t>
      </w:r>
      <w:proofErr w:type="gramEnd"/>
      <w:r w:rsidRPr="00C26FCC">
        <w:rPr>
          <w:rFonts w:ascii="Sylfaen" w:hAnsi="Sylfaen"/>
        </w:rPr>
        <w:t xml:space="preserve"> throughout the country at 11 large landslide locations.</w:t>
      </w:r>
    </w:p>
    <w:p w14:paraId="68CEDFC8" w14:textId="15FD03E9" w:rsidR="00F71A55" w:rsidRDefault="00C26FCC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>
        <w:rPr>
          <w:rFonts w:ascii="Sylfaen" w:hAnsi="Sylfaen"/>
        </w:rPr>
        <w:t xml:space="preserve">Geological </w:t>
      </w:r>
      <w:r w:rsidR="00314D3B">
        <w:rPr>
          <w:rFonts w:ascii="Sylfaen" w:hAnsi="Sylfaen"/>
        </w:rPr>
        <w:t>h</w:t>
      </w:r>
      <w:r>
        <w:rPr>
          <w:rFonts w:ascii="Sylfaen" w:hAnsi="Sylfaen"/>
        </w:rPr>
        <w:t>azard</w:t>
      </w:r>
      <w:r w:rsidR="00314D3B">
        <w:rPr>
          <w:rFonts w:ascii="Sylfaen" w:hAnsi="Sylfaen"/>
        </w:rPr>
        <w:t>s</w:t>
      </w:r>
      <w:r>
        <w:rPr>
          <w:rFonts w:ascii="Sylfaen" w:hAnsi="Sylfaen"/>
        </w:rPr>
        <w:t xml:space="preserve"> (landslide, mudflow) zoning maps were prepared for 10 major river basins of Georgia.</w:t>
      </w:r>
    </w:p>
    <w:p w14:paraId="5D2E7A2F" w14:textId="5C25A073" w:rsidR="008A54CB" w:rsidRDefault="008A54CB" w:rsidP="00284490">
      <w:pPr>
        <w:pStyle w:val="ListParagraph"/>
        <w:numPr>
          <w:ilvl w:val="0"/>
          <w:numId w:val="10"/>
        </w:numPr>
        <w:jc w:val="both"/>
        <w:textAlignment w:val="center"/>
        <w:rPr>
          <w:rFonts w:ascii="Sylfaen" w:hAnsi="Sylfaen"/>
        </w:rPr>
      </w:pPr>
      <w:r w:rsidRPr="008A54CB">
        <w:rPr>
          <w:rFonts w:ascii="Sylfaen" w:hAnsi="Sylfaen"/>
        </w:rPr>
        <w:t xml:space="preserve">Nationwide hazard maps for floods, snow avalanches, droughts, windstorms, and hailstorms </w:t>
      </w:r>
      <w:proofErr w:type="gramStart"/>
      <w:r w:rsidRPr="008A54CB">
        <w:rPr>
          <w:rFonts w:ascii="Sylfaen" w:hAnsi="Sylfaen"/>
        </w:rPr>
        <w:t>have been developed</w:t>
      </w:r>
      <w:proofErr w:type="gramEnd"/>
      <w:r w:rsidR="00314D3B">
        <w:rPr>
          <w:rFonts w:ascii="Sylfaen" w:hAnsi="Sylfaen"/>
        </w:rPr>
        <w:t>.</w:t>
      </w:r>
    </w:p>
    <w:p w14:paraId="57976600" w14:textId="1A189E75" w:rsidR="00144DF4" w:rsidRPr="00144DF4" w:rsidRDefault="00144DF4" w:rsidP="00205329">
      <w:pPr>
        <w:textAlignment w:val="center"/>
        <w:rPr>
          <w:rFonts w:ascii="Sylfaen" w:hAnsi="Sylfaen"/>
        </w:rPr>
      </w:pPr>
    </w:p>
    <w:p w14:paraId="59FF75CA" w14:textId="74072A33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Has your State/National Society/Institution been working</w:t>
      </w:r>
      <w:r w:rsidR="00D15568" w:rsidRPr="003D0577">
        <w:rPr>
          <w:rFonts w:ascii="Sylfaen" w:hAnsi="Sylfaen"/>
          <w:b/>
          <w:bCs/>
          <w:lang w:val="en-GB"/>
        </w:rPr>
        <w:t xml:space="preserve"> with other partners to </w:t>
      </w:r>
      <w:r w:rsidR="005C6365" w:rsidRPr="003D0577">
        <w:rPr>
          <w:rFonts w:ascii="Sylfaen" w:hAnsi="Sylfaen"/>
          <w:b/>
          <w:bCs/>
          <w:lang w:val="en-GB"/>
        </w:rPr>
        <w:t xml:space="preserve">implement the commitments </w:t>
      </w:r>
      <w:r w:rsidR="007F470B" w:rsidRPr="003D0577">
        <w:rPr>
          <w:rFonts w:ascii="Sylfaen" w:hAnsi="Sylfaen"/>
          <w:b/>
          <w:bCs/>
          <w:lang w:val="en-GB"/>
        </w:rPr>
        <w:t xml:space="preserve">contained in </w:t>
      </w:r>
      <w:r w:rsidR="005C6365" w:rsidRPr="003D0577">
        <w:rPr>
          <w:rFonts w:ascii="Sylfaen" w:hAnsi="Sylfaen"/>
          <w:b/>
          <w:bCs/>
          <w:lang w:val="en-GB"/>
        </w:rPr>
        <w:t>this resolution</w:t>
      </w:r>
      <w:r w:rsidR="00D15568" w:rsidRPr="003D0577">
        <w:rPr>
          <w:rFonts w:ascii="Sylfaen" w:hAnsi="Sylfaen"/>
          <w:b/>
          <w:bCs/>
          <w:lang w:val="en-GB"/>
        </w:rPr>
        <w:t>?</w:t>
      </w:r>
    </w:p>
    <w:p w14:paraId="7130111F" w14:textId="77777777" w:rsidR="002B5698" w:rsidRPr="003D0577" w:rsidRDefault="002B5698" w:rsidP="002B5698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3856BE1E" w14:textId="4AC1ADDD" w:rsidR="006F41AB" w:rsidRPr="003D0577" w:rsidRDefault="006F41AB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  <w:proofErr w:type="gramStart"/>
      <w:r w:rsidRPr="003D0577">
        <w:rPr>
          <w:rFonts w:ascii="Sylfaen" w:hAnsi="Sylfaen"/>
          <w:lang w:val="en-GB"/>
        </w:rPr>
        <w:t>yes</w:t>
      </w:r>
      <w:proofErr w:type="gramEnd"/>
      <w:r w:rsidRPr="003D0577">
        <w:rPr>
          <w:rFonts w:ascii="Sylfaen" w:hAnsi="Sylfaen"/>
          <w:lang w:val="en-GB"/>
        </w:rPr>
        <w:t xml:space="preserve"> </w:t>
      </w:r>
    </w:p>
    <w:p w14:paraId="192A92BC" w14:textId="77777777" w:rsidR="002B5698" w:rsidRPr="003D0577" w:rsidRDefault="002B5698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72C868C6" w14:textId="5E978DF2" w:rsidR="006F41AB" w:rsidRDefault="001824B0" w:rsidP="003164D7">
      <w:pPr>
        <w:pStyle w:val="ListParagraph"/>
        <w:ind w:left="284"/>
        <w:textAlignment w:val="center"/>
        <w:rPr>
          <w:rFonts w:ascii="Sylfaen" w:hAnsi="Sylfaen"/>
          <w:b/>
          <w:lang w:val="en-GB"/>
        </w:rPr>
      </w:pPr>
      <w:proofErr w:type="gramStart"/>
      <w:r w:rsidRPr="00E33A20">
        <w:rPr>
          <w:rFonts w:ascii="Sylfaen" w:hAnsi="Sylfaen"/>
          <w:b/>
          <w:lang w:val="en-GB"/>
        </w:rPr>
        <w:t>Partner</w:t>
      </w:r>
      <w:proofErr w:type="gramEnd"/>
      <w:r w:rsidRPr="00E33A20">
        <w:rPr>
          <w:rFonts w:ascii="Sylfaen" w:hAnsi="Sylfaen"/>
          <w:b/>
          <w:lang w:val="en-GB"/>
        </w:rPr>
        <w:t xml:space="preserve"> with:</w:t>
      </w:r>
    </w:p>
    <w:p w14:paraId="772D7492" w14:textId="77777777" w:rsidR="00144DF4" w:rsidRPr="00E33A20" w:rsidRDefault="00144DF4" w:rsidP="003164D7">
      <w:pPr>
        <w:pStyle w:val="ListParagraph"/>
        <w:ind w:left="284"/>
        <w:textAlignment w:val="center"/>
        <w:rPr>
          <w:rFonts w:ascii="Sylfaen" w:hAnsi="Sylfaen"/>
          <w:b/>
          <w:lang w:val="en-GB"/>
        </w:rPr>
      </w:pPr>
    </w:p>
    <w:p w14:paraId="09F3DE7F" w14:textId="67421FAD" w:rsidR="0087720D" w:rsidRPr="003D0577" w:rsidRDefault="00DF110F" w:rsidP="0087720D">
      <w:pPr>
        <w:pStyle w:val="ListParagraph"/>
        <w:numPr>
          <w:ilvl w:val="0"/>
          <w:numId w:val="7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 xml:space="preserve">National Red Cross Society </w:t>
      </w:r>
      <w:r w:rsidR="0026618E">
        <w:rPr>
          <w:rFonts w:ascii="Sylfaen" w:hAnsi="Sylfaen"/>
          <w:lang w:val="en-GB"/>
        </w:rPr>
        <w:t>of</w:t>
      </w:r>
      <w:r w:rsidRPr="003D0577">
        <w:rPr>
          <w:rFonts w:ascii="Sylfaen" w:hAnsi="Sylfaen"/>
          <w:lang w:val="en-GB"/>
        </w:rPr>
        <w:t xml:space="preserve"> </w:t>
      </w:r>
      <w:r w:rsidR="001824B0">
        <w:rPr>
          <w:rFonts w:ascii="Sylfaen" w:hAnsi="Sylfaen"/>
          <w:lang w:val="en-GB"/>
        </w:rPr>
        <w:t>Georgia</w:t>
      </w:r>
    </w:p>
    <w:p w14:paraId="476FA439" w14:textId="38D34FB0" w:rsidR="006D273E" w:rsidRDefault="003164D7" w:rsidP="00144DF4">
      <w:pPr>
        <w:pStyle w:val="ListParagraph"/>
        <w:numPr>
          <w:ilvl w:val="0"/>
          <w:numId w:val="7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G</w:t>
      </w:r>
      <w:r w:rsidR="00DF110F" w:rsidRPr="003D0577">
        <w:rPr>
          <w:rFonts w:ascii="Sylfaen" w:hAnsi="Sylfaen"/>
          <w:lang w:val="en-GB"/>
        </w:rPr>
        <w:t>overnment</w:t>
      </w:r>
      <w:r w:rsidRPr="003D0577">
        <w:rPr>
          <w:rFonts w:ascii="Sylfaen" w:hAnsi="Sylfaen"/>
          <w:lang w:val="en-GB"/>
        </w:rPr>
        <w:t xml:space="preserve"> and/or public authorities </w:t>
      </w:r>
    </w:p>
    <w:p w14:paraId="1DA4E80F" w14:textId="77777777" w:rsidR="00144DF4" w:rsidRPr="00144DF4" w:rsidRDefault="00144DF4" w:rsidP="00144DF4">
      <w:pPr>
        <w:ind w:left="284"/>
        <w:textAlignment w:val="center"/>
        <w:rPr>
          <w:rFonts w:ascii="Sylfaen" w:hAnsi="Sylfaen"/>
          <w:lang w:val="en-GB"/>
        </w:rPr>
      </w:pPr>
    </w:p>
    <w:p w14:paraId="0D687901" w14:textId="0F662EA9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Have you encountered any challenges in implementing th</w:t>
      </w:r>
      <w:r w:rsidR="00E7075D" w:rsidRPr="003D0577">
        <w:rPr>
          <w:rFonts w:ascii="Sylfaen" w:hAnsi="Sylfaen"/>
          <w:b/>
          <w:bCs/>
          <w:lang w:val="en-GB"/>
        </w:rPr>
        <w:t>e</w:t>
      </w:r>
      <w:r w:rsidRPr="003D0577">
        <w:rPr>
          <w:rFonts w:ascii="Sylfaen" w:hAnsi="Sylfaen"/>
          <w:b/>
          <w:bCs/>
          <w:lang w:val="en-GB"/>
        </w:rPr>
        <w:t xml:space="preserve"> commitments</w:t>
      </w:r>
      <w:r w:rsidR="00D84693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 resolution</w:t>
      </w:r>
      <w:r w:rsidRPr="003D0577">
        <w:rPr>
          <w:rFonts w:ascii="Sylfaen" w:hAnsi="Sylfaen"/>
          <w:b/>
          <w:bCs/>
          <w:lang w:val="en-GB"/>
        </w:rPr>
        <w:t xml:space="preserve">? </w:t>
      </w:r>
    </w:p>
    <w:p w14:paraId="60A97A20" w14:textId="77777777" w:rsidR="002B5698" w:rsidRPr="003D0577" w:rsidRDefault="002B5698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2ACF2E05" w14:textId="1F16DA4E" w:rsidR="00DF6262" w:rsidRPr="003D0577" w:rsidRDefault="00E707A3" w:rsidP="00E707A3">
      <w:pPr>
        <w:ind w:left="284"/>
        <w:textAlignment w:val="center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No</w:t>
      </w:r>
    </w:p>
    <w:p w14:paraId="4ED5F470" w14:textId="77777777" w:rsidR="002B5698" w:rsidRPr="003D0577" w:rsidRDefault="002B5698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30D5B974" w14:textId="0E462347" w:rsidR="002B5698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b/>
          <w:bCs/>
          <w:lang w:val="en-GB"/>
        </w:rPr>
        <w:t xml:space="preserve">Have the commitments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 xml:space="preserve">this </w:t>
      </w:r>
      <w:r w:rsidRPr="003D0577">
        <w:rPr>
          <w:rFonts w:ascii="Sylfaen" w:hAnsi="Sylfaen"/>
          <w:b/>
          <w:bCs/>
          <w:lang w:val="en-GB"/>
        </w:rPr>
        <w:t xml:space="preserve">resolution had an impact on the work and </w:t>
      </w:r>
      <w:r w:rsidR="00D87C7F" w:rsidRPr="003D0577">
        <w:rPr>
          <w:rFonts w:ascii="Sylfaen" w:hAnsi="Sylfaen"/>
          <w:b/>
          <w:bCs/>
          <w:lang w:val="en-GB"/>
        </w:rPr>
        <w:t xml:space="preserve">direction </w:t>
      </w:r>
      <w:r w:rsidRPr="003D0577">
        <w:rPr>
          <w:rFonts w:ascii="Sylfaen" w:hAnsi="Sylfaen"/>
          <w:b/>
          <w:bCs/>
          <w:lang w:val="en-GB"/>
        </w:rPr>
        <w:t>of your State/National Society/Institution?</w:t>
      </w:r>
      <w:r w:rsidRPr="003D0577">
        <w:rPr>
          <w:rFonts w:ascii="Sylfaen" w:hAnsi="Sylfaen"/>
          <w:lang w:val="en-GB"/>
        </w:rPr>
        <w:t xml:space="preserve"> </w:t>
      </w:r>
    </w:p>
    <w:p w14:paraId="38B4A914" w14:textId="4C4EADA7" w:rsidR="00A45899" w:rsidRPr="003D0577" w:rsidRDefault="00E707A3" w:rsidP="003A707F">
      <w:pPr>
        <w:ind w:left="284"/>
        <w:contextualSpacing/>
        <w:textAlignment w:val="center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Yes</w:t>
      </w:r>
    </w:p>
    <w:p w14:paraId="18AF71BD" w14:textId="04B73159" w:rsidR="002B5698" w:rsidRPr="003D0577" w:rsidRDefault="002B5698" w:rsidP="00A45899">
      <w:pPr>
        <w:ind w:left="-76"/>
        <w:contextualSpacing/>
        <w:textAlignment w:val="center"/>
        <w:rPr>
          <w:rFonts w:ascii="Sylfaen" w:hAnsi="Sylfaen"/>
          <w:lang w:val="en-GB"/>
        </w:rPr>
      </w:pPr>
    </w:p>
    <w:p w14:paraId="3938E138" w14:textId="231D432D" w:rsidR="00122B95" w:rsidRPr="00E707A3" w:rsidRDefault="00E707A3" w:rsidP="00E707A3">
      <w:pPr>
        <w:ind w:left="-76" w:firstLine="360"/>
        <w:contextualSpacing/>
        <w:textAlignment w:val="center"/>
        <w:rPr>
          <w:rFonts w:ascii="Sylfaen" w:hAnsi="Sylfaen"/>
          <w:b/>
          <w:lang w:val="en-GB"/>
        </w:rPr>
      </w:pPr>
      <w:r w:rsidRPr="00E707A3">
        <w:rPr>
          <w:rFonts w:ascii="Sylfaen" w:hAnsi="Sylfaen"/>
          <w:b/>
          <w:lang w:val="en-GB"/>
        </w:rPr>
        <w:t>T</w:t>
      </w:r>
      <w:r w:rsidR="00A45899" w:rsidRPr="00E707A3">
        <w:rPr>
          <w:rFonts w:ascii="Sylfaen" w:hAnsi="Sylfaen"/>
          <w:b/>
          <w:lang w:val="en-GB"/>
        </w:rPr>
        <w:t xml:space="preserve">ype of </w:t>
      </w:r>
      <w:r w:rsidR="003164D7" w:rsidRPr="00E707A3">
        <w:rPr>
          <w:rFonts w:ascii="Sylfaen" w:hAnsi="Sylfaen"/>
          <w:b/>
          <w:lang w:val="en-GB"/>
        </w:rPr>
        <w:t>impact</w:t>
      </w:r>
      <w:r w:rsidRPr="00E707A3">
        <w:rPr>
          <w:rFonts w:ascii="Sylfaen" w:hAnsi="Sylfaen"/>
          <w:b/>
          <w:lang w:val="en-GB"/>
        </w:rPr>
        <w:t>:</w:t>
      </w:r>
    </w:p>
    <w:p w14:paraId="63F309AD" w14:textId="37C16D93" w:rsidR="00122B95" w:rsidRPr="003D0577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C</w:t>
      </w:r>
      <w:r w:rsidR="005E43A9" w:rsidRPr="003D0577">
        <w:rPr>
          <w:rFonts w:ascii="Sylfaen" w:hAnsi="Sylfaen"/>
          <w:lang w:val="en-GB"/>
        </w:rPr>
        <w:t>ooperation</w:t>
      </w:r>
      <w:r w:rsidR="00122B95" w:rsidRPr="003D0577">
        <w:rPr>
          <w:rFonts w:ascii="Sylfaen" w:hAnsi="Sylfaen"/>
          <w:lang w:val="en-GB"/>
        </w:rPr>
        <w:t xml:space="preserve"> </w:t>
      </w:r>
      <w:r w:rsidRPr="003D0577">
        <w:rPr>
          <w:rFonts w:ascii="Sylfaen" w:hAnsi="Sylfaen"/>
          <w:lang w:val="en-GB"/>
        </w:rPr>
        <w:t>between G</w:t>
      </w:r>
      <w:r w:rsidR="00122B95" w:rsidRPr="003D0577">
        <w:rPr>
          <w:rFonts w:ascii="Sylfaen" w:hAnsi="Sylfaen"/>
          <w:lang w:val="en-GB"/>
        </w:rPr>
        <w:t>overnment</w:t>
      </w:r>
      <w:r w:rsidRPr="003D0577">
        <w:rPr>
          <w:rFonts w:ascii="Sylfaen" w:hAnsi="Sylfaen"/>
          <w:lang w:val="en-GB"/>
        </w:rPr>
        <w:t xml:space="preserve">/public authorities and </w:t>
      </w:r>
      <w:r w:rsidR="00122B95" w:rsidRPr="003D0577">
        <w:rPr>
          <w:rFonts w:ascii="Sylfaen" w:hAnsi="Sylfaen"/>
          <w:lang w:val="en-GB"/>
        </w:rPr>
        <w:t>National Societ</w:t>
      </w:r>
      <w:r w:rsidR="002C198F" w:rsidRPr="003D0577">
        <w:rPr>
          <w:rFonts w:ascii="Sylfaen" w:hAnsi="Sylfaen"/>
          <w:lang w:val="en-GB"/>
        </w:rPr>
        <w:t xml:space="preserve">y </w:t>
      </w:r>
      <w:r w:rsidRPr="003D0577">
        <w:rPr>
          <w:rFonts w:ascii="Sylfaen" w:hAnsi="Sylfaen"/>
          <w:lang w:val="en-GB"/>
        </w:rPr>
        <w:t xml:space="preserve">has been </w:t>
      </w:r>
      <w:r w:rsidR="002C198F" w:rsidRPr="003D0577">
        <w:rPr>
          <w:rFonts w:ascii="Sylfaen" w:hAnsi="Sylfaen"/>
          <w:lang w:val="en-GB"/>
        </w:rPr>
        <w:t>strengt</w:t>
      </w:r>
      <w:r w:rsidR="009A2204" w:rsidRPr="003D0577">
        <w:rPr>
          <w:rFonts w:ascii="Sylfaen" w:hAnsi="Sylfaen"/>
          <w:lang w:val="en-GB"/>
        </w:rPr>
        <w:t>h</w:t>
      </w:r>
      <w:r w:rsidR="002C198F" w:rsidRPr="003D0577">
        <w:rPr>
          <w:rFonts w:ascii="Sylfaen" w:hAnsi="Sylfaen"/>
          <w:lang w:val="en-GB"/>
        </w:rPr>
        <w:t>ened</w:t>
      </w:r>
    </w:p>
    <w:p w14:paraId="1E193AB1" w14:textId="1475ED9E" w:rsidR="00681E26" w:rsidRPr="003D0577" w:rsidRDefault="00681E26" w:rsidP="003A707F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Other</w:t>
      </w:r>
    </w:p>
    <w:p w14:paraId="4AE6CAE6" w14:textId="77777777" w:rsidR="002B5698" w:rsidRPr="003D0577" w:rsidRDefault="002B5698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33E3B5B2" w14:textId="7CBCF68E" w:rsidR="00A45899" w:rsidRPr="00E707A3" w:rsidRDefault="00E707A3" w:rsidP="00A45899">
      <w:pPr>
        <w:pStyle w:val="ListParagraph"/>
        <w:ind w:left="284"/>
        <w:contextualSpacing/>
        <w:textAlignment w:val="center"/>
        <w:rPr>
          <w:rFonts w:ascii="Sylfaen" w:hAnsi="Sylfaen"/>
          <w:b/>
          <w:lang w:val="en-GB"/>
        </w:rPr>
      </w:pPr>
      <w:r w:rsidRPr="00E707A3">
        <w:rPr>
          <w:rFonts w:ascii="Sylfaen" w:hAnsi="Sylfaen"/>
          <w:b/>
          <w:lang w:val="en-GB"/>
        </w:rPr>
        <w:t>Details about the impact:</w:t>
      </w:r>
    </w:p>
    <w:p w14:paraId="688D1232" w14:textId="3E0A7037" w:rsidR="009A4ED2" w:rsidRPr="00823EAA" w:rsidRDefault="009A4ED2" w:rsidP="009A4ED2">
      <w:pPr>
        <w:contextualSpacing/>
        <w:textAlignment w:val="center"/>
        <w:rPr>
          <w:rFonts w:ascii="Sylfaen" w:hAnsi="Sylfaen"/>
          <w:lang w:val="ka-GE"/>
        </w:rPr>
      </w:pPr>
    </w:p>
    <w:p w14:paraId="69DCB908" w14:textId="68B5958B" w:rsidR="002B5698" w:rsidRDefault="0044785C" w:rsidP="00943CEC">
      <w:pPr>
        <w:pStyle w:val="ListParagraph"/>
        <w:ind w:left="284"/>
        <w:contextualSpacing/>
        <w:textAlignment w:val="center"/>
        <w:rPr>
          <w:rFonts w:ascii="Sylfaen" w:hAnsi="Sylfaen" w:cs="Calibri"/>
          <w:lang w:val="en-GB"/>
        </w:rPr>
      </w:pPr>
      <w:proofErr w:type="gramStart"/>
      <w:r w:rsidRPr="0044785C">
        <w:rPr>
          <w:rFonts w:ascii="Sylfaen" w:hAnsi="Sylfaen" w:cs="Calibri"/>
          <w:lang w:val="en-GB"/>
        </w:rPr>
        <w:t>As a result</w:t>
      </w:r>
      <w:proofErr w:type="gramEnd"/>
      <w:r w:rsidRPr="0044785C">
        <w:rPr>
          <w:rFonts w:ascii="Sylfaen" w:hAnsi="Sylfaen" w:cs="Calibri"/>
          <w:lang w:val="en-GB"/>
        </w:rPr>
        <w:t xml:space="preserve"> of the implementation of the above-mentioned activities, climate forecasting and, accordingly, preventive measures of climate-induced disasters have been further refined. </w:t>
      </w:r>
    </w:p>
    <w:p w14:paraId="4D34412F" w14:textId="77777777" w:rsidR="0044785C" w:rsidRPr="003D0577" w:rsidRDefault="0044785C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0A0ED739" w14:textId="5A786D51" w:rsidR="0087720D" w:rsidRPr="003D0577" w:rsidRDefault="0087720D" w:rsidP="00A45899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Have the commitments</w:t>
      </w:r>
      <w:r w:rsidR="00E7075D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3F78AA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</w:t>
      </w:r>
      <w:r w:rsidRPr="003D0577">
        <w:rPr>
          <w:rFonts w:ascii="Sylfaen" w:hAnsi="Sylfaen"/>
          <w:b/>
          <w:bCs/>
          <w:lang w:val="en-GB"/>
        </w:rPr>
        <w:t xml:space="preserve"> resolution</w:t>
      </w:r>
      <w:r w:rsidR="00D25082" w:rsidRPr="003D0577">
        <w:rPr>
          <w:rFonts w:ascii="Sylfaen" w:hAnsi="Sylfaen"/>
          <w:b/>
          <w:bCs/>
          <w:lang w:val="en-GB"/>
        </w:rPr>
        <w:t xml:space="preserve"> </w:t>
      </w:r>
      <w:r w:rsidRPr="003D0577">
        <w:rPr>
          <w:rFonts w:ascii="Sylfaen" w:hAnsi="Sylfaen"/>
          <w:b/>
          <w:bCs/>
          <w:lang w:val="en-GB"/>
        </w:rPr>
        <w:t>had an impact on the communit</w:t>
      </w:r>
      <w:r w:rsidR="009B7B9F" w:rsidRPr="003D0577">
        <w:rPr>
          <w:rFonts w:ascii="Sylfaen" w:hAnsi="Sylfaen"/>
          <w:b/>
          <w:bCs/>
          <w:lang w:val="en-GB"/>
        </w:rPr>
        <w:t>ies</w:t>
      </w:r>
      <w:r w:rsidRPr="003D0577">
        <w:rPr>
          <w:rFonts w:ascii="Sylfaen" w:hAnsi="Sylfaen"/>
          <w:b/>
          <w:bCs/>
          <w:lang w:val="en-GB"/>
        </w:rPr>
        <w:t xml:space="preserve"> that your </w:t>
      </w:r>
      <w:r w:rsidR="009B7B9F" w:rsidRPr="003D0577">
        <w:rPr>
          <w:rFonts w:ascii="Sylfaen" w:hAnsi="Sylfaen"/>
          <w:b/>
          <w:bCs/>
          <w:lang w:val="en-GB"/>
        </w:rPr>
        <w:t>State</w:t>
      </w:r>
      <w:r w:rsidRPr="003D0577">
        <w:rPr>
          <w:rFonts w:ascii="Sylfaen" w:hAnsi="Sylfaen"/>
          <w:b/>
          <w:bCs/>
          <w:lang w:val="en-GB"/>
        </w:rPr>
        <w:t>/National Socie</w:t>
      </w:r>
      <w:r w:rsidR="00681E26" w:rsidRPr="003D0577">
        <w:rPr>
          <w:rFonts w:ascii="Sylfaen" w:hAnsi="Sylfaen"/>
          <w:b/>
          <w:bCs/>
          <w:lang w:val="en-GB"/>
        </w:rPr>
        <w:t>ty</w:t>
      </w:r>
      <w:r w:rsidR="00C13C7E" w:rsidRPr="003D0577">
        <w:rPr>
          <w:rFonts w:ascii="Sylfaen" w:hAnsi="Sylfaen"/>
          <w:b/>
          <w:bCs/>
          <w:lang w:val="en-GB"/>
        </w:rPr>
        <w:t>/Institution</w:t>
      </w:r>
      <w:r w:rsidRPr="003D0577">
        <w:rPr>
          <w:rFonts w:ascii="Sylfaen" w:hAnsi="Sylfaen"/>
          <w:b/>
          <w:bCs/>
          <w:lang w:val="en-GB"/>
        </w:rPr>
        <w:t xml:space="preserve"> serv</w:t>
      </w:r>
      <w:r w:rsidR="009B7B9F" w:rsidRPr="003D0577">
        <w:rPr>
          <w:rFonts w:ascii="Sylfaen" w:hAnsi="Sylfaen"/>
          <w:b/>
          <w:bCs/>
          <w:lang w:val="en-GB"/>
        </w:rPr>
        <w:t>es?</w:t>
      </w:r>
    </w:p>
    <w:p w14:paraId="0B4E9D45" w14:textId="61F4042E" w:rsidR="0087720D" w:rsidRPr="003D0577" w:rsidRDefault="0087720D" w:rsidP="0087720D">
      <w:pPr>
        <w:pStyle w:val="ListParagraph"/>
        <w:ind w:left="1069"/>
        <w:contextualSpacing/>
        <w:textAlignment w:val="center"/>
        <w:rPr>
          <w:rFonts w:ascii="Sylfaen" w:hAnsi="Sylfaen"/>
          <w:lang w:val="en-GB"/>
        </w:rPr>
      </w:pPr>
    </w:p>
    <w:p w14:paraId="768F7FCC" w14:textId="3259EF8E" w:rsidR="005F7B7D" w:rsidRDefault="000A643F" w:rsidP="006E10E2">
      <w:pPr>
        <w:ind w:left="284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lastRenderedPageBreak/>
        <w:t>Yes</w:t>
      </w:r>
    </w:p>
    <w:p w14:paraId="3F47F03B" w14:textId="77777777" w:rsidR="0044785C" w:rsidRDefault="0044785C" w:rsidP="006E10E2">
      <w:pPr>
        <w:ind w:left="284"/>
        <w:jc w:val="both"/>
        <w:rPr>
          <w:rFonts w:ascii="Sylfaen" w:hAnsi="Sylfaen"/>
          <w:lang w:val="en-GB"/>
        </w:rPr>
      </w:pPr>
    </w:p>
    <w:p w14:paraId="0B0AA49E" w14:textId="77777777" w:rsidR="0044785C" w:rsidRPr="0096088F" w:rsidRDefault="0044785C" w:rsidP="0044785C">
      <w:pPr>
        <w:ind w:left="284"/>
        <w:rPr>
          <w:rFonts w:ascii="Sylfaen" w:hAnsi="Sylfaen"/>
          <w:b/>
          <w:lang w:val="en-GB"/>
        </w:rPr>
      </w:pPr>
      <w:r w:rsidRPr="0096088F">
        <w:rPr>
          <w:rFonts w:ascii="Sylfaen" w:hAnsi="Sylfaen"/>
          <w:b/>
          <w:lang w:val="en-GB"/>
        </w:rPr>
        <w:t>Description of the impact:</w:t>
      </w:r>
    </w:p>
    <w:p w14:paraId="68E7AEF4" w14:textId="1B2FAA4C" w:rsidR="0044785C" w:rsidRDefault="0044785C" w:rsidP="006E10E2">
      <w:pPr>
        <w:ind w:left="284"/>
        <w:jc w:val="both"/>
        <w:rPr>
          <w:rFonts w:ascii="Sylfaen" w:hAnsi="Sylfaen"/>
          <w:lang w:val="en-GB"/>
        </w:rPr>
      </w:pPr>
    </w:p>
    <w:p w14:paraId="0EA4EF6B" w14:textId="3E1066D2" w:rsidR="0044785C" w:rsidRPr="003D0577" w:rsidRDefault="0044785C" w:rsidP="006E10E2">
      <w:pPr>
        <w:ind w:left="284"/>
        <w:jc w:val="both"/>
        <w:rPr>
          <w:rFonts w:ascii="Sylfaen" w:hAnsi="Sylfaen"/>
          <w:lang w:val="en-GB"/>
        </w:rPr>
      </w:pPr>
      <w:r w:rsidRPr="0044785C">
        <w:rPr>
          <w:rFonts w:ascii="Sylfaen" w:hAnsi="Sylfaen"/>
          <w:lang w:val="en-GB"/>
        </w:rPr>
        <w:t xml:space="preserve">Improved disaster forecasting methods and tools </w:t>
      </w:r>
      <w:r w:rsidR="00564919" w:rsidRPr="00314D3B">
        <w:rPr>
          <w:rFonts w:ascii="Sylfaen" w:hAnsi="Sylfaen"/>
        </w:rPr>
        <w:t>are essential</w:t>
      </w:r>
      <w:r w:rsidR="00564919">
        <w:rPr>
          <w:rFonts w:ascii="Sylfaen" w:hAnsi="Sylfaen"/>
        </w:rPr>
        <w:t xml:space="preserve"> in the process of protecting population from climate-induced disasters. Therefore, such tools will play a major role in preventing future disasters.</w:t>
      </w:r>
    </w:p>
    <w:sectPr w:rsidR="0044785C" w:rsidRPr="003D0577" w:rsidSect="00B940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81930" w16cid:durableId="2A3678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9200" w14:textId="77777777" w:rsidR="009E3F94" w:rsidRDefault="009E3F94" w:rsidP="00BA4276">
      <w:r>
        <w:separator/>
      </w:r>
    </w:p>
  </w:endnote>
  <w:endnote w:type="continuationSeparator" w:id="0">
    <w:p w14:paraId="10C9C731" w14:textId="77777777" w:rsidR="009E3F94" w:rsidRDefault="009E3F94" w:rsidP="00B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880" w14:textId="054AB125" w:rsidR="00A97CAF" w:rsidRDefault="00A97C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A83AD" wp14:editId="3AE929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9133401dbc05aaed25bdfa64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F9A55" w14:textId="63C6C80C" w:rsidR="00A97CAF" w:rsidRPr="00A97CAF" w:rsidRDefault="00A97CAF" w:rsidP="00A97CAF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7A83AD" id="_x0000_t202" coordsize="21600,21600" o:spt="202" path="m,l,21600r21600,l21600,xe">
              <v:stroke joinstyle="miter"/>
              <v:path gradientshapeok="t" o:connecttype="rect"/>
            </v:shapetype>
            <v:shape id="MSIPCM9133401dbc05aaed25bdfa64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L3kgO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16F9A55" w14:textId="63C6C80C" w:rsidR="00A97CAF" w:rsidRPr="00A97CAF" w:rsidRDefault="00A97CAF" w:rsidP="00A97CAF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84FA" w14:textId="77777777" w:rsidR="009E3F94" w:rsidRDefault="009E3F94" w:rsidP="00BA4276">
      <w:r>
        <w:separator/>
      </w:r>
    </w:p>
  </w:footnote>
  <w:footnote w:type="continuationSeparator" w:id="0">
    <w:p w14:paraId="3154748B" w14:textId="77777777" w:rsidR="009E3F94" w:rsidRDefault="009E3F94" w:rsidP="00BA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79B"/>
    <w:multiLevelType w:val="hybridMultilevel"/>
    <w:tmpl w:val="A2144FC0"/>
    <w:lvl w:ilvl="0" w:tplc="B5AAC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947"/>
    <w:multiLevelType w:val="hybridMultilevel"/>
    <w:tmpl w:val="941EE748"/>
    <w:lvl w:ilvl="0" w:tplc="BA003C0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9728D4"/>
    <w:multiLevelType w:val="hybridMultilevel"/>
    <w:tmpl w:val="7C5676F6"/>
    <w:lvl w:ilvl="0" w:tplc="BA36613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3E234D"/>
    <w:multiLevelType w:val="hybridMultilevel"/>
    <w:tmpl w:val="FB6ABE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514256"/>
    <w:multiLevelType w:val="hybridMultilevel"/>
    <w:tmpl w:val="D93C92F8"/>
    <w:lvl w:ilvl="0" w:tplc="11D8FDB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403CB7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B33DEC"/>
    <w:multiLevelType w:val="hybridMultilevel"/>
    <w:tmpl w:val="67D01010"/>
    <w:lvl w:ilvl="0" w:tplc="CC46291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C205A9"/>
    <w:multiLevelType w:val="hybridMultilevel"/>
    <w:tmpl w:val="DAAA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F56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B"/>
    <w:rsid w:val="00002649"/>
    <w:rsid w:val="0006093B"/>
    <w:rsid w:val="00070D6A"/>
    <w:rsid w:val="000A643F"/>
    <w:rsid w:val="000E11A7"/>
    <w:rsid w:val="000E3499"/>
    <w:rsid w:val="00103BD8"/>
    <w:rsid w:val="00122B95"/>
    <w:rsid w:val="0012728B"/>
    <w:rsid w:val="00136677"/>
    <w:rsid w:val="00144DF4"/>
    <w:rsid w:val="0015015A"/>
    <w:rsid w:val="001824B0"/>
    <w:rsid w:val="001825CF"/>
    <w:rsid w:val="00184F89"/>
    <w:rsid w:val="0019405F"/>
    <w:rsid w:val="001B605B"/>
    <w:rsid w:val="001D45FF"/>
    <w:rsid w:val="001E718A"/>
    <w:rsid w:val="001F3191"/>
    <w:rsid w:val="00205329"/>
    <w:rsid w:val="00205B6E"/>
    <w:rsid w:val="00211543"/>
    <w:rsid w:val="00211ACF"/>
    <w:rsid w:val="0023604E"/>
    <w:rsid w:val="00244AD8"/>
    <w:rsid w:val="00245898"/>
    <w:rsid w:val="0026618E"/>
    <w:rsid w:val="00270605"/>
    <w:rsid w:val="0027262B"/>
    <w:rsid w:val="00284490"/>
    <w:rsid w:val="002A4592"/>
    <w:rsid w:val="002B1AF9"/>
    <w:rsid w:val="002B5698"/>
    <w:rsid w:val="002B71A5"/>
    <w:rsid w:val="002C198F"/>
    <w:rsid w:val="002D409E"/>
    <w:rsid w:val="002D4377"/>
    <w:rsid w:val="002E6646"/>
    <w:rsid w:val="002E78AA"/>
    <w:rsid w:val="002F0F22"/>
    <w:rsid w:val="0030488D"/>
    <w:rsid w:val="00314D3B"/>
    <w:rsid w:val="003164D7"/>
    <w:rsid w:val="00331419"/>
    <w:rsid w:val="003357B1"/>
    <w:rsid w:val="003422B0"/>
    <w:rsid w:val="003427EB"/>
    <w:rsid w:val="0034586D"/>
    <w:rsid w:val="00367028"/>
    <w:rsid w:val="003866C2"/>
    <w:rsid w:val="00394789"/>
    <w:rsid w:val="00397F26"/>
    <w:rsid w:val="003A707F"/>
    <w:rsid w:val="003B19D0"/>
    <w:rsid w:val="003B5226"/>
    <w:rsid w:val="003C05FB"/>
    <w:rsid w:val="003D0577"/>
    <w:rsid w:val="003D72D0"/>
    <w:rsid w:val="003E3291"/>
    <w:rsid w:val="003F78AA"/>
    <w:rsid w:val="00406581"/>
    <w:rsid w:val="0044785C"/>
    <w:rsid w:val="004564C3"/>
    <w:rsid w:val="004808EE"/>
    <w:rsid w:val="004C0B47"/>
    <w:rsid w:val="004E5DFF"/>
    <w:rsid w:val="004F1B88"/>
    <w:rsid w:val="005329EB"/>
    <w:rsid w:val="00542527"/>
    <w:rsid w:val="0056131A"/>
    <w:rsid w:val="00564919"/>
    <w:rsid w:val="00572175"/>
    <w:rsid w:val="0057585D"/>
    <w:rsid w:val="00585B4F"/>
    <w:rsid w:val="00587DD2"/>
    <w:rsid w:val="00597C5B"/>
    <w:rsid w:val="005B3E84"/>
    <w:rsid w:val="005C0202"/>
    <w:rsid w:val="005C6365"/>
    <w:rsid w:val="005E22F6"/>
    <w:rsid w:val="005E43A9"/>
    <w:rsid w:val="005F5002"/>
    <w:rsid w:val="005F7B7D"/>
    <w:rsid w:val="00630092"/>
    <w:rsid w:val="00647776"/>
    <w:rsid w:val="00650044"/>
    <w:rsid w:val="006526F3"/>
    <w:rsid w:val="00681D9E"/>
    <w:rsid w:val="00681E26"/>
    <w:rsid w:val="00682177"/>
    <w:rsid w:val="006B18BF"/>
    <w:rsid w:val="006C105B"/>
    <w:rsid w:val="006D273E"/>
    <w:rsid w:val="006E10E2"/>
    <w:rsid w:val="006E5C2C"/>
    <w:rsid w:val="006F41AB"/>
    <w:rsid w:val="0071348C"/>
    <w:rsid w:val="00784454"/>
    <w:rsid w:val="007B3EB8"/>
    <w:rsid w:val="007C2E6E"/>
    <w:rsid w:val="007D740A"/>
    <w:rsid w:val="007F470B"/>
    <w:rsid w:val="007F6701"/>
    <w:rsid w:val="00823EAA"/>
    <w:rsid w:val="008347CF"/>
    <w:rsid w:val="00835EC1"/>
    <w:rsid w:val="00843D80"/>
    <w:rsid w:val="00873519"/>
    <w:rsid w:val="0087464F"/>
    <w:rsid w:val="0087720D"/>
    <w:rsid w:val="00882A67"/>
    <w:rsid w:val="008A54CB"/>
    <w:rsid w:val="008B7C85"/>
    <w:rsid w:val="008E0A51"/>
    <w:rsid w:val="008E2C2D"/>
    <w:rsid w:val="008F2C9C"/>
    <w:rsid w:val="00900FDD"/>
    <w:rsid w:val="00922CA6"/>
    <w:rsid w:val="00943CEC"/>
    <w:rsid w:val="00950D9F"/>
    <w:rsid w:val="00956F5E"/>
    <w:rsid w:val="00963403"/>
    <w:rsid w:val="00964DAA"/>
    <w:rsid w:val="009A2204"/>
    <w:rsid w:val="009A4ED2"/>
    <w:rsid w:val="009B7B9F"/>
    <w:rsid w:val="009C4A77"/>
    <w:rsid w:val="009E3F94"/>
    <w:rsid w:val="009E4393"/>
    <w:rsid w:val="00A06094"/>
    <w:rsid w:val="00A0655D"/>
    <w:rsid w:val="00A30A24"/>
    <w:rsid w:val="00A3268C"/>
    <w:rsid w:val="00A33195"/>
    <w:rsid w:val="00A45899"/>
    <w:rsid w:val="00A61C38"/>
    <w:rsid w:val="00A757A0"/>
    <w:rsid w:val="00A82965"/>
    <w:rsid w:val="00A83A01"/>
    <w:rsid w:val="00A85193"/>
    <w:rsid w:val="00A97CAF"/>
    <w:rsid w:val="00AA6068"/>
    <w:rsid w:val="00AB0547"/>
    <w:rsid w:val="00AE5C72"/>
    <w:rsid w:val="00AF2140"/>
    <w:rsid w:val="00AF295E"/>
    <w:rsid w:val="00B005E9"/>
    <w:rsid w:val="00B24EE1"/>
    <w:rsid w:val="00B2648B"/>
    <w:rsid w:val="00B51D25"/>
    <w:rsid w:val="00B80E0B"/>
    <w:rsid w:val="00B81ABA"/>
    <w:rsid w:val="00B9403D"/>
    <w:rsid w:val="00BA4276"/>
    <w:rsid w:val="00BA4F7E"/>
    <w:rsid w:val="00BA67AA"/>
    <w:rsid w:val="00BE48C6"/>
    <w:rsid w:val="00BF72F5"/>
    <w:rsid w:val="00C13C7E"/>
    <w:rsid w:val="00C226B8"/>
    <w:rsid w:val="00C227D8"/>
    <w:rsid w:val="00C26FCC"/>
    <w:rsid w:val="00C34D4B"/>
    <w:rsid w:val="00C43648"/>
    <w:rsid w:val="00CA06AF"/>
    <w:rsid w:val="00D15568"/>
    <w:rsid w:val="00D25082"/>
    <w:rsid w:val="00D44F1D"/>
    <w:rsid w:val="00D4591B"/>
    <w:rsid w:val="00D52BFA"/>
    <w:rsid w:val="00D818EB"/>
    <w:rsid w:val="00D84693"/>
    <w:rsid w:val="00D87C7F"/>
    <w:rsid w:val="00D96B7B"/>
    <w:rsid w:val="00DB4A4D"/>
    <w:rsid w:val="00DD7050"/>
    <w:rsid w:val="00DE5720"/>
    <w:rsid w:val="00DF110F"/>
    <w:rsid w:val="00DF6262"/>
    <w:rsid w:val="00E0172C"/>
    <w:rsid w:val="00E16BAF"/>
    <w:rsid w:val="00E33A20"/>
    <w:rsid w:val="00E7075D"/>
    <w:rsid w:val="00E707A3"/>
    <w:rsid w:val="00E72C4F"/>
    <w:rsid w:val="00E848EA"/>
    <w:rsid w:val="00EC104D"/>
    <w:rsid w:val="00EC4084"/>
    <w:rsid w:val="00EC4CEE"/>
    <w:rsid w:val="00EC6B52"/>
    <w:rsid w:val="00ED5B7C"/>
    <w:rsid w:val="00EF564B"/>
    <w:rsid w:val="00F12234"/>
    <w:rsid w:val="00F277B3"/>
    <w:rsid w:val="00F4060E"/>
    <w:rsid w:val="00F50060"/>
    <w:rsid w:val="00F71A55"/>
    <w:rsid w:val="00F75785"/>
    <w:rsid w:val="00FC42D1"/>
    <w:rsid w:val="00FC744E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53BC8"/>
  <w15:chartTrackingRefBased/>
  <w15:docId w15:val="{6FDB6B06-3348-4F2E-8991-885CA8D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A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BA4F7E"/>
    <w:pPr>
      <w:widowControl w:val="0"/>
      <w:autoSpaceDE w:val="0"/>
      <w:autoSpaceDN w:val="0"/>
      <w:ind w:left="140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Standard1 Char,Normal2 Char,Normal3 Char,Normal4 Char,Normal5 Char,Normal6 Char,Normal7 Char,List Paragraph à moi Char,bullets Char,action points Char,Bullet List Char,FooterText Char,Farbige Liste - Akzent 11 Char"/>
    <w:basedOn w:val="DefaultParagraphFont"/>
    <w:link w:val="ListParagraph"/>
    <w:uiPriority w:val="34"/>
    <w:locked/>
    <w:rsid w:val="006F41AB"/>
  </w:style>
  <w:style w:type="paragraph" w:styleId="ListParagraph">
    <w:name w:val="List Paragraph"/>
    <w:aliases w:val="paragraph,Standard1,Normal2,Normal3,Normal4,Normal5,Normal6,Normal7,List Paragraph à moi,bullets,action points,Bullet List,FooterText,Farbige Liste - Akzent 11,numbered,Paragraphe de liste1,列出段落,列出段落1,Bulletr List Paragraph"/>
    <w:basedOn w:val="Normal"/>
    <w:link w:val="ListParagraphChar"/>
    <w:uiPriority w:val="34"/>
    <w:qFormat/>
    <w:rsid w:val="006F41AB"/>
    <w:pPr>
      <w:ind w:left="72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A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017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0172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172C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0172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B71A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19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B52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A4F7E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A4F7E"/>
    <w:pPr>
      <w:widowControl w:val="0"/>
      <w:autoSpaceDE w:val="0"/>
      <w:autoSpaceDN w:val="0"/>
      <w:ind w:left="500" w:hanging="360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4F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crcconference.org/about/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9C07-6AEC-4944-8A4D-8AAA454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Zanardi</dc:creator>
  <cp:keywords/>
  <dc:description/>
  <cp:lastModifiedBy>Ana Ivanishvili</cp:lastModifiedBy>
  <cp:revision>7</cp:revision>
  <dcterms:created xsi:type="dcterms:W3CDTF">2024-07-08T11:06:00Z</dcterms:created>
  <dcterms:modified xsi:type="dcterms:W3CDTF">2024-07-12T11:40:00Z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2021-07-21T11:20:33Z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f84bdc4f-105f-455c-80f5-b1de81545151</vt:lpwstr>
  </property>
  <property fmtid="{D5CDD505-2E9C-101B-9397-08002B2CF9AE}" pid="8" name="MSIP_Label_6627b15a-80ec-4ef7-8353-f32e3c89bf3e_ContentBits">
    <vt:lpwstr>2</vt:lpwstr>
  </property>
  <property fmtid="{D5CDD505-2E9C-101B-9397-08002B2CF9AE}" pid="9" name="GrammarlyDocumentId">
    <vt:lpwstr>b6446df39a0afc2bdc7cb7eee4eb8e81d62b267f71c980cd4192a78174e7ef10</vt:lpwstr>
  </property>
</Properties>
</file>