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5192" w14:textId="757B79E4" w:rsidR="00A97747" w:rsidRPr="00610E3B" w:rsidRDefault="008B3B31">
      <w:pPr>
        <w:rPr>
          <w:b/>
          <w:u w:val="single"/>
          <w:lang w:val="fr-FR"/>
        </w:rPr>
      </w:pPr>
      <w:bookmarkStart w:id="0" w:name="_GoBack"/>
      <w:bookmarkEnd w:id="0"/>
      <w:r w:rsidRPr="00610E3B">
        <w:rPr>
          <w:b/>
          <w:u w:val="single"/>
          <w:lang w:val="fr-FR"/>
        </w:rPr>
        <w:t>Engagement sur la prévention et la lutte contre les violences sexuelles et sexistes</w:t>
      </w:r>
    </w:p>
    <w:p w14:paraId="647D161E" w14:textId="7E35CE50" w:rsidR="008B3B31" w:rsidRPr="00610E3B" w:rsidRDefault="008E5A93">
      <w:pPr>
        <w:rPr>
          <w:lang w:val="fr-FR"/>
        </w:rPr>
      </w:pPr>
      <w:r w:rsidRPr="00610E3B">
        <w:rPr>
          <w:lang w:val="fr-FR"/>
        </w:rPr>
        <w:t>Engagement pour la période 2020</w:t>
      </w:r>
      <w:r w:rsidR="008B3B31" w:rsidRPr="00610E3B">
        <w:rPr>
          <w:lang w:val="fr-FR"/>
        </w:rPr>
        <w:t>-2023</w:t>
      </w:r>
    </w:p>
    <w:p w14:paraId="2DC67310" w14:textId="77777777" w:rsidR="008B3B31" w:rsidRPr="00610E3B" w:rsidRDefault="008B3B31" w:rsidP="008B3B31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610E3B">
        <w:rPr>
          <w:b/>
          <w:lang w:val="fr-FR"/>
        </w:rPr>
        <w:t>Introduction</w:t>
      </w:r>
    </w:p>
    <w:p w14:paraId="3138F173" w14:textId="2B00D783" w:rsidR="008B3B31" w:rsidRPr="00610E3B" w:rsidRDefault="008B3B31" w:rsidP="008B3B31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  <w:lang w:val="fr-FR"/>
        </w:rPr>
      </w:pPr>
      <w:r w:rsidRPr="00610E3B">
        <w:rPr>
          <w:rFonts w:cstheme="minorHAnsi"/>
          <w:lang w:val="fr-FR"/>
        </w:rPr>
        <w:t xml:space="preserve">Nous rappelons </w:t>
      </w:r>
      <w:r w:rsidR="004D6A67" w:rsidRPr="00610E3B">
        <w:rPr>
          <w:rFonts w:cstheme="minorHAnsi"/>
          <w:lang w:val="fr-FR"/>
        </w:rPr>
        <w:t>notamment l</w:t>
      </w:r>
      <w:r w:rsidRPr="00610E3B">
        <w:rPr>
          <w:rFonts w:cstheme="minorHAnsi"/>
          <w:lang w:val="fr-FR"/>
        </w:rPr>
        <w:t>a résolution </w:t>
      </w:r>
      <w:r w:rsidR="000F188A" w:rsidRPr="00610E3B">
        <w:rPr>
          <w:rFonts w:cstheme="minorHAnsi"/>
          <w:lang w:val="fr-FR"/>
        </w:rPr>
        <w:t xml:space="preserve">sur le thème </w:t>
      </w:r>
      <w:r w:rsidR="004D6A67" w:rsidRPr="00610E3B">
        <w:rPr>
          <w:rFonts w:cstheme="minorHAnsi"/>
          <w:lang w:val="fr-FR"/>
        </w:rPr>
        <w:t>« La</w:t>
      </w:r>
      <w:r w:rsidRPr="00610E3B">
        <w:rPr>
          <w:rFonts w:cstheme="minorHAnsi"/>
          <w:lang w:val="fr-FR"/>
        </w:rPr>
        <w:t xml:space="preserve"> violence sexuelle et sexiste</w:t>
      </w:r>
      <w:r w:rsidR="004D6A67" w:rsidRPr="00610E3B">
        <w:rPr>
          <w:rFonts w:cstheme="minorHAnsi"/>
          <w:lang w:val="fr-FR"/>
        </w:rPr>
        <w:t> : action commune en matière de prévention et d’intervention »</w:t>
      </w:r>
      <w:r w:rsidRPr="00610E3B">
        <w:rPr>
          <w:rFonts w:cstheme="minorHAnsi"/>
          <w:lang w:val="fr-FR"/>
        </w:rPr>
        <w:t xml:space="preserve"> de la </w:t>
      </w:r>
      <w:proofErr w:type="spellStart"/>
      <w:r w:rsidRPr="00610E3B">
        <w:rPr>
          <w:rFonts w:cstheme="minorHAnsi"/>
          <w:lang w:val="fr-FR"/>
        </w:rPr>
        <w:t>XXXII</w:t>
      </w:r>
      <w:r w:rsidRPr="00610E3B">
        <w:rPr>
          <w:rFonts w:cstheme="minorHAnsi"/>
          <w:vertAlign w:val="superscript"/>
          <w:lang w:val="fr-FR"/>
        </w:rPr>
        <w:t>e</w:t>
      </w:r>
      <w:proofErr w:type="spellEnd"/>
      <w:r w:rsidRPr="00610E3B">
        <w:rPr>
          <w:rFonts w:cstheme="minorHAnsi"/>
          <w:lang w:val="fr-FR"/>
        </w:rPr>
        <w:t xml:space="preserve"> Conférence internationale de la Croix-Rouge et du Croissant-Rouge et nous réaffirmons </w:t>
      </w:r>
      <w:r w:rsidR="004D6A67" w:rsidRPr="00610E3B">
        <w:rPr>
          <w:rFonts w:cstheme="minorHAnsi"/>
          <w:lang w:val="fr-FR"/>
        </w:rPr>
        <w:t>s</w:t>
      </w:r>
      <w:r w:rsidR="008D477F" w:rsidRPr="00610E3B">
        <w:rPr>
          <w:rFonts w:cstheme="minorHAnsi"/>
          <w:lang w:val="fr-FR"/>
        </w:rPr>
        <w:t>a</w:t>
      </w:r>
      <w:r w:rsidRPr="00610E3B">
        <w:rPr>
          <w:rFonts w:cstheme="minorHAnsi"/>
          <w:lang w:val="fr-FR"/>
        </w:rPr>
        <w:t xml:space="preserve"> pertinence et sommes résolus à accélérer la prise de mesures pour </w:t>
      </w:r>
      <w:r w:rsidR="004D6A67" w:rsidRPr="00610E3B">
        <w:rPr>
          <w:rFonts w:cstheme="minorHAnsi"/>
          <w:lang w:val="fr-FR"/>
        </w:rPr>
        <w:t>sa</w:t>
      </w:r>
      <w:r w:rsidRPr="00610E3B">
        <w:rPr>
          <w:rFonts w:cstheme="minorHAnsi"/>
          <w:lang w:val="fr-FR"/>
        </w:rPr>
        <w:t xml:space="preserve"> mise en œuvre ; </w:t>
      </w:r>
    </w:p>
    <w:p w14:paraId="70938AF0" w14:textId="77777777" w:rsidR="008B3B31" w:rsidRPr="00610E3B" w:rsidRDefault="008B3B31" w:rsidP="008B3B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  <w:lang w:val="fr-FR"/>
        </w:rPr>
      </w:pPr>
    </w:p>
    <w:p w14:paraId="674601EF" w14:textId="77777777" w:rsidR="008B3B31" w:rsidRPr="00610E3B" w:rsidRDefault="000F188A" w:rsidP="008B3B31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  <w:lang w:val="fr-FR"/>
        </w:rPr>
      </w:pPr>
      <w:r w:rsidRPr="00610E3B">
        <w:rPr>
          <w:rFonts w:cstheme="minorHAnsi"/>
          <w:lang w:val="fr-FR"/>
        </w:rPr>
        <w:t>Nous nous félicitons de la r</w:t>
      </w:r>
      <w:r w:rsidR="008B3B31" w:rsidRPr="00610E3B">
        <w:rPr>
          <w:rFonts w:cstheme="minorHAnsi"/>
          <w:lang w:val="fr-FR"/>
        </w:rPr>
        <w:t xml:space="preserve">ésolution adoptée lors de la </w:t>
      </w:r>
      <w:proofErr w:type="spellStart"/>
      <w:r w:rsidR="008B3B31" w:rsidRPr="00610E3B">
        <w:rPr>
          <w:rFonts w:cstheme="minorHAnsi"/>
          <w:lang w:val="fr-FR"/>
        </w:rPr>
        <w:t>XXXIII</w:t>
      </w:r>
      <w:r w:rsidR="008B3B31" w:rsidRPr="00610E3B">
        <w:rPr>
          <w:rFonts w:cstheme="minorHAnsi"/>
          <w:vertAlign w:val="superscript"/>
          <w:lang w:val="fr-FR"/>
        </w:rPr>
        <w:t>e</w:t>
      </w:r>
      <w:proofErr w:type="spellEnd"/>
      <w:r w:rsidR="008B3B31" w:rsidRPr="00610E3B">
        <w:rPr>
          <w:rFonts w:cstheme="minorHAnsi"/>
          <w:lang w:val="fr-FR"/>
        </w:rPr>
        <w:t xml:space="preserve"> Conférence internationale sur le thème « S’approprier le DIH : Feuille de route pour améliorer la mise en œuvre nationale du droit international humanitaire » et, par là-même, nous nous engageons à mettre en œuvre ses dispositions, notamment à renforcer nos efforts de prévention et de lutte contre les violences sexuelles et sexistes ; </w:t>
      </w:r>
    </w:p>
    <w:p w14:paraId="03C52BA2" w14:textId="77777777" w:rsidR="008B3B31" w:rsidRPr="00610E3B" w:rsidRDefault="008B3B31" w:rsidP="008B3B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  <w:lang w:val="fr-FR"/>
        </w:rPr>
      </w:pPr>
    </w:p>
    <w:p w14:paraId="3E27985B" w14:textId="77777777" w:rsidR="008B3B31" w:rsidRPr="00610E3B" w:rsidRDefault="008B3B31" w:rsidP="008B3B31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  <w:lang w:val="fr-FR"/>
        </w:rPr>
      </w:pPr>
      <w:r w:rsidRPr="00610E3B">
        <w:rPr>
          <w:rFonts w:cstheme="minorHAnsi"/>
          <w:lang w:val="fr-FR"/>
        </w:rPr>
        <w:t xml:space="preserve">Nous gardons à l’esprit l’étude menée par la Fédération internationale sous l’intitulé </w:t>
      </w:r>
      <w:r w:rsidRPr="00610E3B">
        <w:rPr>
          <w:rFonts w:cstheme="minorHAnsi"/>
          <w:i/>
          <w:iCs/>
          <w:lang w:val="fr-FR"/>
        </w:rPr>
        <w:t xml:space="preserve">Effective </w:t>
      </w:r>
      <w:proofErr w:type="spellStart"/>
      <w:r w:rsidRPr="00610E3B">
        <w:rPr>
          <w:rFonts w:cstheme="minorHAnsi"/>
          <w:i/>
          <w:iCs/>
          <w:lang w:val="fr-FR"/>
        </w:rPr>
        <w:t>law</w:t>
      </w:r>
      <w:proofErr w:type="spellEnd"/>
      <w:r w:rsidRPr="00610E3B">
        <w:rPr>
          <w:rFonts w:cstheme="minorHAnsi"/>
          <w:i/>
          <w:iCs/>
          <w:lang w:val="fr-FR"/>
        </w:rPr>
        <w:t xml:space="preserve"> and </w:t>
      </w:r>
      <w:proofErr w:type="spellStart"/>
      <w:r w:rsidRPr="00610E3B">
        <w:rPr>
          <w:rFonts w:cstheme="minorHAnsi"/>
          <w:i/>
          <w:iCs/>
          <w:lang w:val="fr-FR"/>
        </w:rPr>
        <w:t>policy</w:t>
      </w:r>
      <w:proofErr w:type="spellEnd"/>
      <w:r w:rsidRPr="00610E3B">
        <w:rPr>
          <w:rFonts w:cstheme="minorHAnsi"/>
          <w:i/>
          <w:iCs/>
          <w:lang w:val="fr-FR"/>
        </w:rPr>
        <w:t xml:space="preserve"> on </w:t>
      </w:r>
      <w:proofErr w:type="spellStart"/>
      <w:r w:rsidRPr="00610E3B">
        <w:rPr>
          <w:rFonts w:cstheme="minorHAnsi"/>
          <w:i/>
          <w:iCs/>
          <w:lang w:val="fr-FR"/>
        </w:rPr>
        <w:t>gender</w:t>
      </w:r>
      <w:proofErr w:type="spellEnd"/>
      <w:r w:rsidRPr="00610E3B">
        <w:rPr>
          <w:rFonts w:cstheme="minorHAnsi"/>
          <w:i/>
          <w:iCs/>
          <w:lang w:val="fr-FR"/>
        </w:rPr>
        <w:t xml:space="preserve"> </w:t>
      </w:r>
      <w:proofErr w:type="spellStart"/>
      <w:r w:rsidRPr="00610E3B">
        <w:rPr>
          <w:rFonts w:cstheme="minorHAnsi"/>
          <w:i/>
          <w:iCs/>
          <w:lang w:val="fr-FR"/>
        </w:rPr>
        <w:t>equality</w:t>
      </w:r>
      <w:proofErr w:type="spellEnd"/>
      <w:r w:rsidRPr="00610E3B">
        <w:rPr>
          <w:rFonts w:cstheme="minorHAnsi"/>
          <w:i/>
          <w:iCs/>
          <w:lang w:val="fr-FR"/>
        </w:rPr>
        <w:t xml:space="preserve"> and protection </w:t>
      </w:r>
      <w:proofErr w:type="spellStart"/>
      <w:r w:rsidRPr="00610E3B">
        <w:rPr>
          <w:rFonts w:cstheme="minorHAnsi"/>
          <w:i/>
          <w:iCs/>
          <w:lang w:val="fr-FR"/>
        </w:rPr>
        <w:t>from</w:t>
      </w:r>
      <w:proofErr w:type="spellEnd"/>
      <w:r w:rsidRPr="00610E3B">
        <w:rPr>
          <w:rFonts w:cstheme="minorHAnsi"/>
          <w:i/>
          <w:iCs/>
          <w:lang w:val="fr-FR"/>
        </w:rPr>
        <w:t xml:space="preserve"> </w:t>
      </w:r>
      <w:proofErr w:type="spellStart"/>
      <w:r w:rsidRPr="00610E3B">
        <w:rPr>
          <w:rFonts w:cstheme="minorHAnsi"/>
          <w:i/>
          <w:iCs/>
          <w:lang w:val="fr-FR"/>
        </w:rPr>
        <w:t>sexual</w:t>
      </w:r>
      <w:proofErr w:type="spellEnd"/>
      <w:r w:rsidRPr="00610E3B">
        <w:rPr>
          <w:rFonts w:cstheme="minorHAnsi"/>
          <w:i/>
          <w:iCs/>
          <w:lang w:val="fr-FR"/>
        </w:rPr>
        <w:t xml:space="preserve"> and </w:t>
      </w:r>
      <w:proofErr w:type="spellStart"/>
      <w:r w:rsidRPr="00610E3B">
        <w:rPr>
          <w:rFonts w:cstheme="minorHAnsi"/>
          <w:i/>
          <w:iCs/>
          <w:lang w:val="fr-FR"/>
        </w:rPr>
        <w:t>gender-based</w:t>
      </w:r>
      <w:proofErr w:type="spellEnd"/>
      <w:r w:rsidRPr="00610E3B">
        <w:rPr>
          <w:rFonts w:cstheme="minorHAnsi"/>
          <w:i/>
          <w:iCs/>
          <w:lang w:val="fr-FR"/>
        </w:rPr>
        <w:t xml:space="preserve"> violence in </w:t>
      </w:r>
      <w:proofErr w:type="spellStart"/>
      <w:r w:rsidRPr="00610E3B">
        <w:rPr>
          <w:rFonts w:cstheme="minorHAnsi"/>
          <w:i/>
          <w:iCs/>
          <w:lang w:val="fr-FR"/>
        </w:rPr>
        <w:t>disasters</w:t>
      </w:r>
      <w:proofErr w:type="spellEnd"/>
      <w:r w:rsidRPr="00610E3B">
        <w:rPr>
          <w:rFonts w:cstheme="minorHAnsi"/>
          <w:lang w:val="fr-FR"/>
        </w:rPr>
        <w:t xml:space="preserve">, qui explique que les violences sexuelles et sexistes tendent à augmenter dans les situations d’urgence, et de catastrophe en raison de l’affaiblissement des structures de sécurité et de l’intensification des vulnérabilités ; </w:t>
      </w:r>
    </w:p>
    <w:p w14:paraId="100C9EDF" w14:textId="77777777" w:rsidR="008B3B31" w:rsidRPr="00610E3B" w:rsidRDefault="008B3B31" w:rsidP="008B3B31">
      <w:pPr>
        <w:pStyle w:val="Indent1"/>
        <w:tabs>
          <w:tab w:val="clear" w:pos="396"/>
          <w:tab w:val="clear" w:pos="741"/>
          <w:tab w:val="clear" w:pos="1134"/>
          <w:tab w:val="clear" w:pos="1701"/>
          <w:tab w:val="left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F37933F" w14:textId="6178A1FC" w:rsidR="008B3B31" w:rsidRPr="00610E3B" w:rsidRDefault="007F4D52" w:rsidP="008B3B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  <w:lang w:val="fr-FR"/>
        </w:rPr>
      </w:pPr>
      <w:r w:rsidRPr="00610E3B">
        <w:rPr>
          <w:rFonts w:cstheme="minorHAnsi"/>
          <w:lang w:val="fr-FR"/>
        </w:rPr>
        <w:t xml:space="preserve">Le gouvernement du Grand-Duché de Luxembourg </w:t>
      </w:r>
      <w:r w:rsidR="009B7DA0">
        <w:rPr>
          <w:rFonts w:cstheme="minorHAnsi"/>
          <w:lang w:val="fr-FR"/>
        </w:rPr>
        <w:t>s’engage</w:t>
      </w:r>
      <w:r w:rsidRPr="00610E3B">
        <w:rPr>
          <w:rFonts w:cstheme="minorHAnsi"/>
          <w:lang w:val="fr-FR"/>
        </w:rPr>
        <w:t xml:space="preserve"> à prendre les mesures suivantes d’ici à 2023 : </w:t>
      </w:r>
    </w:p>
    <w:p w14:paraId="2218C79B" w14:textId="77777777" w:rsidR="008B3B31" w:rsidRPr="00610E3B" w:rsidRDefault="008B3B31" w:rsidP="008B3B31">
      <w:pPr>
        <w:jc w:val="both"/>
        <w:rPr>
          <w:lang w:val="fr-FR"/>
        </w:rPr>
      </w:pPr>
    </w:p>
    <w:p w14:paraId="2BAE587B" w14:textId="77777777" w:rsidR="008B3B31" w:rsidRPr="00610E3B" w:rsidRDefault="008B3B31" w:rsidP="008B3B31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610E3B">
        <w:rPr>
          <w:b/>
          <w:lang w:val="fr-FR"/>
        </w:rPr>
        <w:t>Plan d’action</w:t>
      </w:r>
    </w:p>
    <w:p w14:paraId="3B47AD59" w14:textId="116D5296" w:rsidR="00EE55B4" w:rsidRPr="000469B6" w:rsidRDefault="00EE55B4" w:rsidP="000469B6">
      <w:pPr>
        <w:rPr>
          <w:lang w:val="fr-FR"/>
        </w:rPr>
      </w:pPr>
    </w:p>
    <w:p w14:paraId="42DB7F71" w14:textId="611B201D" w:rsidR="0038006C" w:rsidRPr="00610E3B" w:rsidRDefault="003D4711" w:rsidP="0038006C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610E3B">
        <w:rPr>
          <w:lang w:val="fr-FR"/>
        </w:rPr>
        <w:t>Le gouvernement du Grand-Duché d</w:t>
      </w:r>
      <w:r w:rsidR="008E5A93" w:rsidRPr="00610E3B">
        <w:rPr>
          <w:lang w:val="fr-FR"/>
        </w:rPr>
        <w:t>e</w:t>
      </w:r>
      <w:r w:rsidRPr="00610E3B">
        <w:rPr>
          <w:lang w:val="fr-FR"/>
        </w:rPr>
        <w:t xml:space="preserve"> Luxembourg </w:t>
      </w:r>
      <w:r w:rsidR="00B07A4A" w:rsidRPr="00610E3B">
        <w:rPr>
          <w:lang w:val="fr-FR"/>
        </w:rPr>
        <w:t xml:space="preserve">veille à ce que </w:t>
      </w:r>
      <w:r w:rsidR="00B07A4A" w:rsidRPr="00610E3B">
        <w:rPr>
          <w:b/>
          <w:lang w:val="fr-FR"/>
        </w:rPr>
        <w:t xml:space="preserve">le cadre juridique national </w:t>
      </w:r>
      <w:r w:rsidRPr="00610E3B">
        <w:rPr>
          <w:b/>
          <w:lang w:val="fr-FR"/>
        </w:rPr>
        <w:t>continue à mettre pleinement en œuvre les obligations internationales applicables en matière de lutte contre les violences sexuelles et sexistes,</w:t>
      </w:r>
      <w:r w:rsidRPr="00610E3B">
        <w:rPr>
          <w:lang w:val="fr-FR"/>
        </w:rPr>
        <w:t xml:space="preserve"> </w:t>
      </w:r>
      <w:r w:rsidR="0038006C" w:rsidRPr="00610E3B">
        <w:rPr>
          <w:lang w:val="fr-FR"/>
        </w:rPr>
        <w:t xml:space="preserve">en particulier : </w:t>
      </w:r>
    </w:p>
    <w:p w14:paraId="2BCD66E2" w14:textId="6036F127" w:rsidR="0038006C" w:rsidRPr="00610E3B" w:rsidRDefault="00D7084B" w:rsidP="0038006C">
      <w:pPr>
        <w:pStyle w:val="Paragraphedeliste"/>
        <w:numPr>
          <w:ilvl w:val="1"/>
          <w:numId w:val="3"/>
        </w:numPr>
        <w:jc w:val="both"/>
        <w:rPr>
          <w:lang w:val="fr-FR"/>
        </w:rPr>
      </w:pPr>
      <w:r w:rsidRPr="00610E3B">
        <w:rPr>
          <w:lang w:val="fr-FR"/>
        </w:rPr>
        <w:t>A</w:t>
      </w:r>
      <w:r w:rsidR="003D4711" w:rsidRPr="00610E3B">
        <w:rPr>
          <w:lang w:val="fr-FR"/>
        </w:rPr>
        <w:t>ssurer des mesures de sensibilisation et de formation des professionnels compétents en vue de la mise en œuvre</w:t>
      </w:r>
      <w:r w:rsidR="008D477F" w:rsidRPr="00610E3B">
        <w:rPr>
          <w:lang w:val="fr-FR"/>
        </w:rPr>
        <w:t xml:space="preserve"> de</w:t>
      </w:r>
      <w:r w:rsidR="003D4711" w:rsidRPr="00610E3B">
        <w:rPr>
          <w:lang w:val="fr-FR"/>
        </w:rPr>
        <w:t xml:space="preserve"> l’engagement susmentionné. </w:t>
      </w:r>
    </w:p>
    <w:p w14:paraId="09B624F4" w14:textId="5A587FF3" w:rsidR="00A75AB4" w:rsidRPr="00610E3B" w:rsidRDefault="00D7084B" w:rsidP="00B95D43">
      <w:pPr>
        <w:pStyle w:val="Paragraphedeliste"/>
        <w:numPr>
          <w:ilvl w:val="1"/>
          <w:numId w:val="3"/>
        </w:numPr>
        <w:jc w:val="both"/>
        <w:rPr>
          <w:lang w:val="fr-FR"/>
        </w:rPr>
      </w:pPr>
      <w:r w:rsidRPr="00610E3B">
        <w:rPr>
          <w:lang w:val="fr-FR"/>
        </w:rPr>
        <w:t>A</w:t>
      </w:r>
      <w:r w:rsidR="00A75AB4" w:rsidRPr="00610E3B">
        <w:rPr>
          <w:lang w:val="fr-FR"/>
        </w:rPr>
        <w:t>ssurer que les principaux ministères et organismes publics œuvrant dans le domaine de la prévention et de la lutte contre les violences sexuelles et sexistes élaborent</w:t>
      </w:r>
      <w:r w:rsidR="00AC1623" w:rsidRPr="00610E3B">
        <w:rPr>
          <w:lang w:val="fr-FR"/>
        </w:rPr>
        <w:t>,</w:t>
      </w:r>
      <w:r w:rsidR="00A75AB4" w:rsidRPr="00610E3B">
        <w:rPr>
          <w:lang w:val="fr-FR"/>
        </w:rPr>
        <w:t xml:space="preserve"> confor</w:t>
      </w:r>
      <w:r w:rsidR="00877BAF" w:rsidRPr="00610E3B">
        <w:rPr>
          <w:lang w:val="fr-FR"/>
        </w:rPr>
        <w:t>mément au cadre législatif et</w:t>
      </w:r>
      <w:r w:rsidR="00A75AB4" w:rsidRPr="00610E3B">
        <w:rPr>
          <w:lang w:val="fr-FR"/>
        </w:rPr>
        <w:t xml:space="preserve"> politique, des plans d’urgence visant à assurer la continuité des services de </w:t>
      </w:r>
      <w:r w:rsidR="006E1581" w:rsidRPr="00610E3B">
        <w:rPr>
          <w:lang w:val="fr-FR"/>
        </w:rPr>
        <w:t>prévention et de lutte contre les</w:t>
      </w:r>
      <w:r w:rsidR="00A75AB4" w:rsidRPr="00610E3B">
        <w:rPr>
          <w:lang w:val="fr-FR"/>
        </w:rPr>
        <w:t xml:space="preserve"> violence</w:t>
      </w:r>
      <w:r w:rsidR="006E1581" w:rsidRPr="00610E3B">
        <w:rPr>
          <w:lang w:val="fr-FR"/>
        </w:rPr>
        <w:t>s</w:t>
      </w:r>
      <w:r w:rsidR="00A75AB4" w:rsidRPr="00610E3B">
        <w:rPr>
          <w:lang w:val="fr-FR"/>
        </w:rPr>
        <w:t xml:space="preserve"> sexuelle</w:t>
      </w:r>
      <w:r w:rsidR="006E1581" w:rsidRPr="00610E3B">
        <w:rPr>
          <w:lang w:val="fr-FR"/>
        </w:rPr>
        <w:t>s</w:t>
      </w:r>
      <w:r w:rsidR="00A75AB4" w:rsidRPr="00610E3B">
        <w:rPr>
          <w:lang w:val="fr-FR"/>
        </w:rPr>
        <w:t xml:space="preserve"> et sexiste</w:t>
      </w:r>
      <w:r w:rsidR="006E1581" w:rsidRPr="00610E3B">
        <w:rPr>
          <w:lang w:val="fr-FR"/>
        </w:rPr>
        <w:t>s</w:t>
      </w:r>
      <w:r w:rsidR="00A75AB4" w:rsidRPr="00610E3B">
        <w:rPr>
          <w:lang w:val="fr-FR"/>
        </w:rPr>
        <w:t xml:space="preserve"> dans les situations de catastrophe, d’urgence </w:t>
      </w:r>
      <w:r w:rsidR="00186DDF" w:rsidRPr="00610E3B">
        <w:rPr>
          <w:lang w:val="fr-FR"/>
        </w:rPr>
        <w:t>ou</w:t>
      </w:r>
      <w:r w:rsidR="00A75AB4" w:rsidRPr="00610E3B">
        <w:rPr>
          <w:lang w:val="fr-FR"/>
        </w:rPr>
        <w:t xml:space="preserve"> de crise, </w:t>
      </w:r>
      <w:r w:rsidR="006E1581" w:rsidRPr="00610E3B">
        <w:rPr>
          <w:lang w:val="fr-FR"/>
        </w:rPr>
        <w:t xml:space="preserve">ou, le cas échéant, </w:t>
      </w:r>
      <w:r w:rsidR="008D477F" w:rsidRPr="00610E3B">
        <w:rPr>
          <w:lang w:val="fr-FR"/>
        </w:rPr>
        <w:t xml:space="preserve">adaptent </w:t>
      </w:r>
      <w:r w:rsidR="006E1581" w:rsidRPr="00610E3B">
        <w:rPr>
          <w:lang w:val="fr-FR"/>
        </w:rPr>
        <w:t>des plans existants</w:t>
      </w:r>
      <w:r w:rsidR="00F02CF7" w:rsidRPr="00610E3B">
        <w:rPr>
          <w:lang w:val="fr-FR"/>
        </w:rPr>
        <w:t>, et qu’ils ont les ressources nécessaires pour le faire.</w:t>
      </w:r>
    </w:p>
    <w:p w14:paraId="2BB46B27" w14:textId="0179C6F7" w:rsidR="007C1425" w:rsidRPr="00610E3B" w:rsidRDefault="00D7084B" w:rsidP="007C1425">
      <w:pPr>
        <w:pStyle w:val="Paragraphedeliste"/>
        <w:numPr>
          <w:ilvl w:val="1"/>
          <w:numId w:val="3"/>
        </w:numPr>
        <w:jc w:val="both"/>
        <w:rPr>
          <w:lang w:val="fr-FR"/>
        </w:rPr>
      </w:pPr>
      <w:r w:rsidRPr="00610E3B">
        <w:rPr>
          <w:lang w:val="fr-FR"/>
        </w:rPr>
        <w:t>A</w:t>
      </w:r>
      <w:r w:rsidR="00AB2D8A" w:rsidRPr="00610E3B">
        <w:rPr>
          <w:lang w:val="fr-FR"/>
        </w:rPr>
        <w:t>ccorder une attention particulière aux questions de genre et de diversité dans la mise en œuvre</w:t>
      </w:r>
      <w:r w:rsidR="00FC67DD" w:rsidRPr="00610E3B">
        <w:rPr>
          <w:lang w:val="fr-FR"/>
        </w:rPr>
        <w:t xml:space="preserve"> des loi</w:t>
      </w:r>
      <w:r w:rsidR="00AB2D8A" w:rsidRPr="00610E3B">
        <w:rPr>
          <w:lang w:val="fr-FR"/>
        </w:rPr>
        <w:t xml:space="preserve">s et politiques relatives </w:t>
      </w:r>
      <w:r w:rsidR="0010362A" w:rsidRPr="00610E3B">
        <w:rPr>
          <w:lang w:val="fr-FR"/>
        </w:rPr>
        <w:t xml:space="preserve">aux situations de catastrophe, d’urgence </w:t>
      </w:r>
      <w:r w:rsidR="00186DDF" w:rsidRPr="00610E3B">
        <w:rPr>
          <w:lang w:val="fr-FR"/>
        </w:rPr>
        <w:t>ou</w:t>
      </w:r>
      <w:r w:rsidR="0010362A" w:rsidRPr="00610E3B">
        <w:rPr>
          <w:lang w:val="fr-FR"/>
        </w:rPr>
        <w:t xml:space="preserve"> de crise</w:t>
      </w:r>
      <w:r w:rsidR="00AB2D8A" w:rsidRPr="00610E3B">
        <w:rPr>
          <w:lang w:val="fr-FR"/>
        </w:rPr>
        <w:t xml:space="preserve">, et </w:t>
      </w:r>
      <w:r w:rsidR="00FC67DD" w:rsidRPr="00610E3B">
        <w:rPr>
          <w:lang w:val="fr-FR"/>
        </w:rPr>
        <w:t>empêcher</w:t>
      </w:r>
      <w:r w:rsidR="00AB2D8A" w:rsidRPr="00610E3B">
        <w:rPr>
          <w:lang w:val="fr-FR"/>
        </w:rPr>
        <w:t xml:space="preserve"> toute pratique ou politique publique conduisant à des discriminations ou à l’exclusion.</w:t>
      </w:r>
    </w:p>
    <w:p w14:paraId="14A482E9" w14:textId="77777777" w:rsidR="00FC21F5" w:rsidRPr="00610E3B" w:rsidRDefault="00FC21F5" w:rsidP="00B95D43">
      <w:pPr>
        <w:pStyle w:val="Paragraphedeliste"/>
        <w:ind w:left="1440"/>
        <w:jc w:val="both"/>
        <w:rPr>
          <w:lang w:val="fr-FR"/>
        </w:rPr>
      </w:pPr>
    </w:p>
    <w:p w14:paraId="0369A332" w14:textId="77777777" w:rsidR="0062626B" w:rsidRPr="00610E3B" w:rsidRDefault="0062626B" w:rsidP="0062626B">
      <w:pPr>
        <w:pStyle w:val="Paragraphedeliste"/>
        <w:ind w:left="1440"/>
        <w:jc w:val="both"/>
        <w:rPr>
          <w:lang w:val="fr-FR"/>
        </w:rPr>
      </w:pPr>
    </w:p>
    <w:p w14:paraId="06A658FC" w14:textId="5ACEE06A" w:rsidR="00A6713F" w:rsidRPr="00610E3B" w:rsidRDefault="0062626B" w:rsidP="0062626B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610E3B">
        <w:rPr>
          <w:lang w:val="fr-FR"/>
        </w:rPr>
        <w:lastRenderedPageBreak/>
        <w:t xml:space="preserve">Le gouvernement du Grand-Duché de Luxembourg </w:t>
      </w:r>
      <w:r w:rsidR="00FF13AC" w:rsidRPr="00610E3B">
        <w:rPr>
          <w:lang w:val="fr-FR"/>
        </w:rPr>
        <w:t>va</w:t>
      </w:r>
      <w:r w:rsidR="00052ACC" w:rsidRPr="00610E3B">
        <w:rPr>
          <w:lang w:val="fr-FR"/>
        </w:rPr>
        <w:t xml:space="preserve"> œuvrer pour</w:t>
      </w:r>
      <w:r w:rsidR="00FF13AC" w:rsidRPr="00610E3B">
        <w:rPr>
          <w:lang w:val="fr-FR"/>
        </w:rPr>
        <w:t xml:space="preserve"> que</w:t>
      </w:r>
      <w:r w:rsidRPr="00610E3B">
        <w:rPr>
          <w:lang w:val="fr-FR"/>
        </w:rPr>
        <w:t xml:space="preserve"> </w:t>
      </w:r>
      <w:r w:rsidRPr="00610E3B">
        <w:rPr>
          <w:b/>
          <w:lang w:val="fr-FR"/>
        </w:rPr>
        <w:t>les survivant</w:t>
      </w:r>
      <w:r w:rsidR="00052ACC" w:rsidRPr="00610E3B">
        <w:rPr>
          <w:b/>
          <w:lang w:val="fr-FR"/>
        </w:rPr>
        <w:t>(e)</w:t>
      </w:r>
      <w:r w:rsidRPr="00610E3B">
        <w:rPr>
          <w:b/>
          <w:lang w:val="fr-FR"/>
        </w:rPr>
        <w:t>s de violences sexuelles et de violences sexistes puissent</w:t>
      </w:r>
      <w:r w:rsidRPr="00610E3B">
        <w:rPr>
          <w:lang w:val="fr-FR"/>
        </w:rPr>
        <w:t xml:space="preserve">, </w:t>
      </w:r>
      <w:r w:rsidRPr="00610E3B">
        <w:rPr>
          <w:b/>
          <w:lang w:val="fr-FR"/>
        </w:rPr>
        <w:t>sans discrimination aucune, accéder à tout moment, sans entrave,</w:t>
      </w:r>
      <w:r w:rsidRPr="00610E3B">
        <w:rPr>
          <w:lang w:val="fr-FR"/>
        </w:rPr>
        <w:t xml:space="preserve"> </w:t>
      </w:r>
      <w:r w:rsidRPr="00610E3B">
        <w:rPr>
          <w:b/>
          <w:lang w:val="fr-FR"/>
        </w:rPr>
        <w:t>à un ensemble complet de services notamment de santé, sociaux et juridiques</w:t>
      </w:r>
      <w:r w:rsidRPr="00610E3B">
        <w:rPr>
          <w:lang w:val="fr-FR"/>
        </w:rPr>
        <w:t>, selon leurs besoins spécifiques, en gardant toujours à l’esprit la nécessité de garantir la dignité et la sécurité des survivant</w:t>
      </w:r>
      <w:r w:rsidR="00052ACC" w:rsidRPr="00610E3B">
        <w:rPr>
          <w:lang w:val="fr-FR"/>
        </w:rPr>
        <w:t>(e)</w:t>
      </w:r>
      <w:r w:rsidRPr="00610E3B">
        <w:rPr>
          <w:lang w:val="fr-FR"/>
        </w:rPr>
        <w:t xml:space="preserve">s et l’importance de protéger la confidentialité et le droit à la vie privée, notamment en luttant contre des problèmes tels que la stigmatisation sociale des </w:t>
      </w:r>
      <w:r w:rsidR="00415A83" w:rsidRPr="00610E3B">
        <w:rPr>
          <w:lang w:val="fr-FR"/>
        </w:rPr>
        <w:t>survivant</w:t>
      </w:r>
      <w:r w:rsidR="00052ACC" w:rsidRPr="00610E3B">
        <w:rPr>
          <w:lang w:val="fr-FR"/>
        </w:rPr>
        <w:t>(e)</w:t>
      </w:r>
      <w:r w:rsidR="00415A83" w:rsidRPr="00610E3B">
        <w:rPr>
          <w:lang w:val="fr-FR"/>
        </w:rPr>
        <w:t>s, et en particulier</w:t>
      </w:r>
      <w:r w:rsidRPr="00610E3B">
        <w:rPr>
          <w:lang w:val="fr-FR"/>
        </w:rPr>
        <w:t xml:space="preserve">: </w:t>
      </w:r>
    </w:p>
    <w:p w14:paraId="2C5A4D7C" w14:textId="77777777" w:rsidR="00415A83" w:rsidRPr="00610E3B" w:rsidRDefault="00415A83" w:rsidP="00415A83">
      <w:pPr>
        <w:pStyle w:val="Paragraphedeliste"/>
        <w:jc w:val="both"/>
        <w:rPr>
          <w:lang w:val="fr-FR"/>
        </w:rPr>
      </w:pPr>
    </w:p>
    <w:p w14:paraId="36B06848" w14:textId="780F8695" w:rsidR="0062626B" w:rsidRPr="00610E3B" w:rsidRDefault="0016386E" w:rsidP="00A6713F">
      <w:pPr>
        <w:pStyle w:val="Paragraphedeliste"/>
        <w:numPr>
          <w:ilvl w:val="1"/>
          <w:numId w:val="3"/>
        </w:numPr>
        <w:jc w:val="both"/>
        <w:rPr>
          <w:lang w:val="fr-FR"/>
        </w:rPr>
      </w:pPr>
      <w:r w:rsidRPr="00610E3B">
        <w:rPr>
          <w:bCs/>
          <w:lang w:val="fr-FR"/>
        </w:rPr>
        <w:t>Continuer à garantir l’</w:t>
      </w:r>
      <w:r w:rsidR="00A6713F" w:rsidRPr="00610E3B">
        <w:rPr>
          <w:bCs/>
          <w:lang w:val="fr-FR"/>
        </w:rPr>
        <w:t xml:space="preserve">accès aux services </w:t>
      </w:r>
      <w:r w:rsidR="0010362A" w:rsidRPr="00610E3B">
        <w:rPr>
          <w:lang w:val="fr-FR"/>
        </w:rPr>
        <w:t xml:space="preserve">dans les situations de catastrophe, d’urgence </w:t>
      </w:r>
      <w:r w:rsidR="00186DDF" w:rsidRPr="00610E3B">
        <w:rPr>
          <w:lang w:val="fr-FR"/>
        </w:rPr>
        <w:t>ou</w:t>
      </w:r>
      <w:r w:rsidR="0010362A" w:rsidRPr="00610E3B">
        <w:rPr>
          <w:lang w:val="fr-FR"/>
        </w:rPr>
        <w:t xml:space="preserve"> de crise</w:t>
      </w:r>
      <w:r w:rsidR="00A6713F" w:rsidRPr="00610E3B">
        <w:rPr>
          <w:bCs/>
          <w:lang w:val="fr-FR"/>
        </w:rPr>
        <w:t xml:space="preserve"> ai</w:t>
      </w:r>
      <w:r w:rsidR="00C65399" w:rsidRPr="00610E3B">
        <w:rPr>
          <w:bCs/>
          <w:lang w:val="fr-FR"/>
        </w:rPr>
        <w:t>nsi qu’en dehors de ces situations</w:t>
      </w:r>
      <w:r w:rsidR="00381471" w:rsidRPr="00610E3B">
        <w:rPr>
          <w:bCs/>
          <w:lang w:val="fr-FR"/>
        </w:rPr>
        <w:t>.</w:t>
      </w:r>
    </w:p>
    <w:p w14:paraId="289D567E" w14:textId="77777777" w:rsidR="008F599C" w:rsidRPr="00610E3B" w:rsidRDefault="008F599C" w:rsidP="008F599C">
      <w:pPr>
        <w:pStyle w:val="Paragraphedeliste"/>
        <w:ind w:left="1440"/>
        <w:jc w:val="both"/>
        <w:rPr>
          <w:lang w:val="fr-FR"/>
        </w:rPr>
      </w:pPr>
    </w:p>
    <w:p w14:paraId="370BEC6D" w14:textId="77777777" w:rsidR="0010362A" w:rsidRPr="00610E3B" w:rsidRDefault="00233288" w:rsidP="008F599C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610E3B">
        <w:rPr>
          <w:lang w:val="fr-FR"/>
        </w:rPr>
        <w:t xml:space="preserve">Le gouvernement du Grand-Duché de </w:t>
      </w:r>
      <w:r w:rsidR="00F63F60" w:rsidRPr="00610E3B">
        <w:rPr>
          <w:lang w:val="fr-FR"/>
        </w:rPr>
        <w:t>Luxembourg</w:t>
      </w:r>
      <w:r w:rsidR="0010362A" w:rsidRPr="00610E3B">
        <w:rPr>
          <w:rFonts w:eastAsia="Times New Roman" w:cstheme="minorHAnsi"/>
          <w:bCs/>
          <w:lang w:val="fr-FR"/>
        </w:rPr>
        <w:t xml:space="preserve"> </w:t>
      </w:r>
      <w:r w:rsidR="0010362A" w:rsidRPr="00610E3B">
        <w:rPr>
          <w:bCs/>
          <w:lang w:val="fr-FR"/>
        </w:rPr>
        <w:t xml:space="preserve">va veiller à </w:t>
      </w:r>
      <w:r w:rsidR="0010362A" w:rsidRPr="00610E3B">
        <w:rPr>
          <w:b/>
          <w:bCs/>
          <w:lang w:val="fr-FR"/>
        </w:rPr>
        <w:t xml:space="preserve">incorporer dans les plans et activités de gestion des situations de catastrophe, d’urgence </w:t>
      </w:r>
      <w:r w:rsidR="00186DDF" w:rsidRPr="00610E3B">
        <w:rPr>
          <w:b/>
          <w:bCs/>
          <w:lang w:val="fr-FR"/>
        </w:rPr>
        <w:t>ou</w:t>
      </w:r>
      <w:r w:rsidR="0010362A" w:rsidRPr="00610E3B">
        <w:rPr>
          <w:b/>
          <w:bCs/>
          <w:lang w:val="fr-FR"/>
        </w:rPr>
        <w:t xml:space="preserve"> de crise des mesures visant à prévenir et à combattre les violences sexuelles et sexistes</w:t>
      </w:r>
      <w:r w:rsidR="0010362A" w:rsidRPr="00610E3B">
        <w:rPr>
          <w:bCs/>
          <w:lang w:val="fr-FR"/>
        </w:rPr>
        <w:t>, dont notamment </w:t>
      </w:r>
      <w:r w:rsidR="00CB2158" w:rsidRPr="00610E3B">
        <w:rPr>
          <w:lang w:val="fr-FR"/>
        </w:rPr>
        <w:t>la mise en place ou, le cas échéant,</w:t>
      </w:r>
      <w:r w:rsidR="0010362A" w:rsidRPr="00610E3B">
        <w:rPr>
          <w:lang w:val="fr-FR"/>
        </w:rPr>
        <w:t xml:space="preserve"> l’adaptation de services spécifiques pour prévenir et lutter d’une manière adéquate contre les violences sexuelles et sexistes et la mise en place de mesures de sensibilisation et</w:t>
      </w:r>
      <w:r w:rsidR="00553A13" w:rsidRPr="00610E3B">
        <w:rPr>
          <w:lang w:val="fr-FR"/>
        </w:rPr>
        <w:t xml:space="preserve"> de formation</w:t>
      </w:r>
      <w:r w:rsidR="0010362A" w:rsidRPr="00610E3B">
        <w:rPr>
          <w:lang w:val="fr-FR"/>
        </w:rPr>
        <w:t xml:space="preserve"> à l’intention du pers</w:t>
      </w:r>
      <w:r w:rsidR="00FC21F5" w:rsidRPr="00610E3B">
        <w:rPr>
          <w:lang w:val="fr-FR"/>
        </w:rPr>
        <w:t>onnel chargé d’intervenir dans c</w:t>
      </w:r>
      <w:r w:rsidR="0010362A" w:rsidRPr="00610E3B">
        <w:rPr>
          <w:lang w:val="fr-FR"/>
        </w:rPr>
        <w:t xml:space="preserve">es </w:t>
      </w:r>
      <w:r w:rsidR="00FC21F5" w:rsidRPr="00610E3B">
        <w:rPr>
          <w:lang w:val="fr-FR"/>
        </w:rPr>
        <w:t xml:space="preserve">types de </w:t>
      </w:r>
      <w:r w:rsidR="0010362A" w:rsidRPr="00610E3B">
        <w:rPr>
          <w:lang w:val="fr-FR"/>
        </w:rPr>
        <w:t>situa</w:t>
      </w:r>
      <w:r w:rsidR="00FC21F5" w:rsidRPr="00610E3B">
        <w:rPr>
          <w:lang w:val="fr-FR"/>
        </w:rPr>
        <w:t>tions.</w:t>
      </w:r>
    </w:p>
    <w:p w14:paraId="5F79E477" w14:textId="77777777" w:rsidR="0010362A" w:rsidRPr="00610E3B" w:rsidRDefault="0010362A" w:rsidP="0010362A">
      <w:pPr>
        <w:pStyle w:val="Paragraphedeliste"/>
        <w:jc w:val="both"/>
        <w:rPr>
          <w:lang w:val="fr-FR"/>
        </w:rPr>
      </w:pPr>
    </w:p>
    <w:p w14:paraId="0F11AE01" w14:textId="24CCC0F1" w:rsidR="00F92043" w:rsidRPr="00610E3B" w:rsidRDefault="0010362A" w:rsidP="00D66E87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610E3B">
        <w:rPr>
          <w:lang w:val="fr-FR"/>
        </w:rPr>
        <w:t xml:space="preserve">Le gouvernement du Grand-Duché de Luxembourg va veiller à </w:t>
      </w:r>
      <w:r w:rsidR="008F599C" w:rsidRPr="00610E3B">
        <w:rPr>
          <w:lang w:val="fr-FR"/>
        </w:rPr>
        <w:t xml:space="preserve">une </w:t>
      </w:r>
      <w:r w:rsidR="008F599C" w:rsidRPr="00610E3B">
        <w:rPr>
          <w:b/>
          <w:lang w:val="fr-FR"/>
        </w:rPr>
        <w:t>représentation équilibrée des femmes et hommes</w:t>
      </w:r>
      <w:r w:rsidR="008F599C" w:rsidRPr="00610E3B">
        <w:rPr>
          <w:lang w:val="fr-FR"/>
        </w:rPr>
        <w:t xml:space="preserve"> dans les équipes d’intervention, les organes de gouvernance et les comités de direction </w:t>
      </w:r>
      <w:r w:rsidRPr="00610E3B">
        <w:rPr>
          <w:lang w:val="fr-FR"/>
        </w:rPr>
        <w:t xml:space="preserve">en cas de </w:t>
      </w:r>
      <w:r w:rsidR="00186DDF" w:rsidRPr="00610E3B">
        <w:rPr>
          <w:lang w:val="fr-FR"/>
        </w:rPr>
        <w:t xml:space="preserve">situations de </w:t>
      </w:r>
      <w:r w:rsidRPr="00610E3B">
        <w:rPr>
          <w:lang w:val="fr-FR"/>
        </w:rPr>
        <w:t>catastrophe</w:t>
      </w:r>
      <w:r w:rsidR="00186DDF" w:rsidRPr="00610E3B">
        <w:rPr>
          <w:lang w:val="fr-FR"/>
        </w:rPr>
        <w:t>, d’urgence</w:t>
      </w:r>
      <w:r w:rsidRPr="00610E3B">
        <w:rPr>
          <w:lang w:val="fr-FR"/>
        </w:rPr>
        <w:t xml:space="preserve"> ou de crise, </w:t>
      </w:r>
      <w:r w:rsidR="008F599C" w:rsidRPr="00610E3B">
        <w:rPr>
          <w:lang w:val="fr-FR"/>
        </w:rPr>
        <w:t>et à la</w:t>
      </w:r>
      <w:r w:rsidRPr="00610E3B">
        <w:rPr>
          <w:bCs/>
          <w:lang w:val="fr-FR"/>
        </w:rPr>
        <w:t xml:space="preserve"> participation des femmes à la prise de décisions </w:t>
      </w:r>
      <w:r w:rsidR="00F53177" w:rsidRPr="00610E3B">
        <w:rPr>
          <w:bCs/>
          <w:lang w:val="fr-FR"/>
        </w:rPr>
        <w:t xml:space="preserve">dans </w:t>
      </w:r>
      <w:r w:rsidRPr="00610E3B">
        <w:rPr>
          <w:bCs/>
          <w:lang w:val="fr-FR"/>
        </w:rPr>
        <w:t xml:space="preserve">la gestion des risques de catastrophe, </w:t>
      </w:r>
      <w:r w:rsidR="00186DDF" w:rsidRPr="00610E3B">
        <w:rPr>
          <w:bCs/>
          <w:lang w:val="fr-FR"/>
        </w:rPr>
        <w:t>d’urgence</w:t>
      </w:r>
      <w:r w:rsidRPr="00610E3B">
        <w:rPr>
          <w:bCs/>
          <w:lang w:val="fr-FR"/>
        </w:rPr>
        <w:t xml:space="preserve"> </w:t>
      </w:r>
      <w:r w:rsidR="00186DDF" w:rsidRPr="00610E3B">
        <w:rPr>
          <w:bCs/>
          <w:lang w:val="fr-FR"/>
        </w:rPr>
        <w:t>ou de crise</w:t>
      </w:r>
      <w:r w:rsidR="008F599C" w:rsidRPr="00610E3B">
        <w:rPr>
          <w:bCs/>
          <w:lang w:val="fr-FR"/>
        </w:rPr>
        <w:t>.</w:t>
      </w:r>
    </w:p>
    <w:p w14:paraId="6F1DB4C2" w14:textId="77777777" w:rsidR="00282DCB" w:rsidRPr="00610E3B" w:rsidRDefault="00282DCB" w:rsidP="00682DBB">
      <w:pPr>
        <w:pStyle w:val="Paragraphedeliste"/>
        <w:rPr>
          <w:lang w:val="fr-FR"/>
        </w:rPr>
      </w:pPr>
    </w:p>
    <w:p w14:paraId="10C10F9E" w14:textId="54D2A8CB" w:rsidR="00672718" w:rsidRDefault="00052ACC" w:rsidP="00672718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610E3B">
        <w:rPr>
          <w:lang w:val="fr-FR"/>
        </w:rPr>
        <w:t>Le gouvernement du Grand-Duché de Luxembourg</w:t>
      </w:r>
      <w:r w:rsidR="00840968" w:rsidRPr="00610E3B">
        <w:rPr>
          <w:lang w:val="fr-FR"/>
        </w:rPr>
        <w:t xml:space="preserve"> continuera à</w:t>
      </w:r>
      <w:r w:rsidRPr="00610E3B">
        <w:rPr>
          <w:lang w:val="fr-FR"/>
        </w:rPr>
        <w:t xml:space="preserve"> </w:t>
      </w:r>
      <w:r w:rsidR="00840968" w:rsidRPr="00610E3B">
        <w:rPr>
          <w:lang w:val="fr-FR"/>
        </w:rPr>
        <w:t xml:space="preserve">s’engager, dans le cadre de sa politique étrangère féministe, </w:t>
      </w:r>
      <w:r w:rsidR="00840968" w:rsidRPr="00DF20A8">
        <w:rPr>
          <w:b/>
          <w:lang w:val="fr-FR"/>
        </w:rPr>
        <w:t>en faveur de la promotion des droits de la femme au niveau international et de la lutte contre les violences sexuelles et sexistes</w:t>
      </w:r>
      <w:r w:rsidR="00840968" w:rsidRPr="00610E3B">
        <w:rPr>
          <w:lang w:val="fr-FR"/>
        </w:rPr>
        <w:t xml:space="preserve">. </w:t>
      </w:r>
    </w:p>
    <w:p w14:paraId="61447A19" w14:textId="77777777" w:rsidR="00672718" w:rsidRPr="00672718" w:rsidRDefault="00672718" w:rsidP="00672718">
      <w:pPr>
        <w:pStyle w:val="Paragraphedeliste"/>
        <w:rPr>
          <w:lang w:val="fr-FR"/>
        </w:rPr>
      </w:pPr>
    </w:p>
    <w:p w14:paraId="30A2668A" w14:textId="77777777" w:rsidR="00672718" w:rsidRPr="00672718" w:rsidRDefault="00672718" w:rsidP="00672718">
      <w:pPr>
        <w:pStyle w:val="Paragraphedeliste"/>
        <w:jc w:val="both"/>
        <w:rPr>
          <w:lang w:val="fr-FR"/>
        </w:rPr>
      </w:pPr>
    </w:p>
    <w:p w14:paraId="606DB558" w14:textId="77777777" w:rsidR="00672718" w:rsidRPr="00A172E2" w:rsidRDefault="00672718" w:rsidP="00672718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Le gouvernement </w:t>
      </w:r>
      <w:r w:rsidRPr="005505A1">
        <w:rPr>
          <w:lang w:val="fr-FR"/>
        </w:rPr>
        <w:t>continuera à attirer l’attention, aux niveaux national et international,</w:t>
      </w:r>
      <w:r w:rsidRPr="00A172E2">
        <w:rPr>
          <w:lang w:val="fr-FR"/>
        </w:rPr>
        <w:t xml:space="preserve"> sur la </w:t>
      </w:r>
      <w:r w:rsidRPr="00A172E2">
        <w:rPr>
          <w:b/>
          <w:lang w:val="fr-FR"/>
        </w:rPr>
        <w:t xml:space="preserve">prévalence des violences sexuelles et sexistes dans les conflits armés et d’autres situations de violence </w:t>
      </w:r>
      <w:r w:rsidRPr="00A172E2">
        <w:rPr>
          <w:lang w:val="fr-FR"/>
        </w:rPr>
        <w:t xml:space="preserve">ainsi que dans les crises humanitaires en général, </w:t>
      </w:r>
      <w:r w:rsidRPr="005505A1">
        <w:rPr>
          <w:lang w:val="fr-FR"/>
        </w:rPr>
        <w:t>et sur l’importance de la prévention.</w:t>
      </w:r>
    </w:p>
    <w:p w14:paraId="41796486" w14:textId="77777777" w:rsidR="00840968" w:rsidRPr="00610E3B" w:rsidRDefault="00840968" w:rsidP="00682DBB">
      <w:pPr>
        <w:pStyle w:val="Paragraphedeliste"/>
        <w:rPr>
          <w:lang w:val="fr-FR"/>
        </w:rPr>
      </w:pPr>
    </w:p>
    <w:p w14:paraId="283CD9B9" w14:textId="77777777" w:rsidR="00840968" w:rsidRPr="00610E3B" w:rsidRDefault="00840968" w:rsidP="00682DBB">
      <w:pPr>
        <w:pStyle w:val="Paragraphedeliste"/>
        <w:jc w:val="both"/>
        <w:rPr>
          <w:lang w:val="fr-FR"/>
        </w:rPr>
      </w:pPr>
    </w:p>
    <w:p w14:paraId="731ADD64" w14:textId="06E36AEA" w:rsidR="00F63F60" w:rsidRPr="00610E3B" w:rsidRDefault="00BA04AA" w:rsidP="008A7DBD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610E3B">
        <w:rPr>
          <w:lang w:val="fr-FR"/>
        </w:rPr>
        <w:t>Le gouvernement du Grand-Duché de Luxembourg</w:t>
      </w:r>
      <w:r w:rsidR="00AB17F2" w:rsidRPr="00610E3B">
        <w:rPr>
          <w:lang w:val="fr-FR"/>
        </w:rPr>
        <w:t xml:space="preserve"> va maintenir</w:t>
      </w:r>
      <w:r w:rsidR="000C6B08" w:rsidRPr="00610E3B">
        <w:rPr>
          <w:lang w:val="fr-FR"/>
        </w:rPr>
        <w:t xml:space="preserve"> un</w:t>
      </w:r>
      <w:r w:rsidR="00AB17F2" w:rsidRPr="00610E3B">
        <w:rPr>
          <w:lang w:val="fr-FR"/>
        </w:rPr>
        <w:t xml:space="preserve"> </w:t>
      </w:r>
      <w:r w:rsidR="00AB17F2" w:rsidRPr="00610E3B">
        <w:rPr>
          <w:b/>
          <w:lang w:val="fr-FR"/>
        </w:rPr>
        <w:t xml:space="preserve">soutien </w:t>
      </w:r>
      <w:r w:rsidR="000C6B08" w:rsidRPr="00610E3B">
        <w:rPr>
          <w:b/>
          <w:lang w:val="fr-FR"/>
        </w:rPr>
        <w:t xml:space="preserve">tangible </w:t>
      </w:r>
      <w:r w:rsidR="00AB17F2" w:rsidRPr="00610E3B">
        <w:rPr>
          <w:b/>
          <w:lang w:val="fr-FR"/>
        </w:rPr>
        <w:t>aux efforts du CICR en matière de prévention et de lutte contre les violences sexuelles et sexistes</w:t>
      </w:r>
      <w:r w:rsidR="00AB17F2" w:rsidRPr="00610E3B">
        <w:rPr>
          <w:lang w:val="fr-FR"/>
        </w:rPr>
        <w:t xml:space="preserve">, en particulier dans le contexte de conflits armés </w:t>
      </w:r>
      <w:r w:rsidR="000D13EF" w:rsidRPr="00610E3B">
        <w:rPr>
          <w:lang w:val="fr-FR"/>
        </w:rPr>
        <w:t xml:space="preserve">et d’autres situations de violence ainsi que dans le contexte de </w:t>
      </w:r>
      <w:r w:rsidR="00AB17F2" w:rsidRPr="00610E3B">
        <w:rPr>
          <w:lang w:val="fr-FR"/>
        </w:rPr>
        <w:t>crises humanitaires</w:t>
      </w:r>
      <w:r w:rsidR="000D13EF" w:rsidRPr="00610E3B">
        <w:rPr>
          <w:lang w:val="fr-FR"/>
        </w:rPr>
        <w:t xml:space="preserve"> en général</w:t>
      </w:r>
      <w:r w:rsidR="00D7084B" w:rsidRPr="00610E3B">
        <w:rPr>
          <w:lang w:val="fr-FR"/>
        </w:rPr>
        <w:t xml:space="preserve">, </w:t>
      </w:r>
      <w:r w:rsidR="00FF13AC" w:rsidRPr="00610E3B">
        <w:rPr>
          <w:lang w:val="fr-FR"/>
        </w:rPr>
        <w:t>et en particulier</w:t>
      </w:r>
      <w:r w:rsidR="00D7084B" w:rsidRPr="00610E3B">
        <w:rPr>
          <w:lang w:val="fr-FR"/>
        </w:rPr>
        <w:t xml:space="preserve">: </w:t>
      </w:r>
    </w:p>
    <w:p w14:paraId="742B905E" w14:textId="77777777" w:rsidR="00D7084B" w:rsidRPr="00610E3B" w:rsidRDefault="00D7084B" w:rsidP="008A7DBD">
      <w:pPr>
        <w:pStyle w:val="Paragraphedeliste"/>
        <w:jc w:val="both"/>
        <w:rPr>
          <w:lang w:val="fr-FR"/>
        </w:rPr>
      </w:pPr>
    </w:p>
    <w:p w14:paraId="6A257FE2" w14:textId="24A02C2D" w:rsidR="00CE1A8A" w:rsidRPr="00610E3B" w:rsidRDefault="00D7084B" w:rsidP="008A7DBD">
      <w:pPr>
        <w:pStyle w:val="Paragraphedeliste"/>
        <w:numPr>
          <w:ilvl w:val="0"/>
          <w:numId w:val="7"/>
        </w:numPr>
        <w:jc w:val="both"/>
        <w:rPr>
          <w:lang w:val="fr-FR"/>
        </w:rPr>
      </w:pPr>
      <w:r w:rsidRPr="00610E3B">
        <w:rPr>
          <w:lang w:val="fr-FR"/>
        </w:rPr>
        <w:t>Soutenir le CICR à poursuivre et accroître ses efforts pour prévenir ces crimes et pour venir en aide aux survivant</w:t>
      </w:r>
      <w:r w:rsidR="00052ACC" w:rsidRPr="00610E3B">
        <w:rPr>
          <w:lang w:val="fr-FR"/>
        </w:rPr>
        <w:t>(e)</w:t>
      </w:r>
      <w:r w:rsidRPr="00610E3B">
        <w:rPr>
          <w:lang w:val="fr-FR"/>
        </w:rPr>
        <w:t xml:space="preserve">s à travers une multitude d’activités, dont </w:t>
      </w:r>
      <w:r w:rsidRPr="00610E3B">
        <w:rPr>
          <w:lang w:val="fr-LU"/>
        </w:rPr>
        <w:t>la prise en charge médicale et l’offre de services de santé mentale et soutien psychosocial</w:t>
      </w:r>
    </w:p>
    <w:p w14:paraId="3458FCDE" w14:textId="77777777" w:rsidR="00D7084B" w:rsidRPr="00610E3B" w:rsidRDefault="00D7084B" w:rsidP="008A7DBD">
      <w:pPr>
        <w:pStyle w:val="Paragraphedeliste"/>
        <w:ind w:left="1800"/>
        <w:jc w:val="both"/>
        <w:rPr>
          <w:lang w:val="fr-FR"/>
        </w:rPr>
      </w:pPr>
    </w:p>
    <w:p w14:paraId="68AC37D1" w14:textId="6A644448" w:rsidR="008F599C" w:rsidRPr="00610E3B" w:rsidRDefault="00D7084B" w:rsidP="008A7DBD">
      <w:pPr>
        <w:pStyle w:val="Paragraphedeliste"/>
        <w:numPr>
          <w:ilvl w:val="0"/>
          <w:numId w:val="7"/>
        </w:numPr>
        <w:jc w:val="both"/>
        <w:rPr>
          <w:lang w:val="fr-FR"/>
        </w:rPr>
      </w:pPr>
      <w:r w:rsidRPr="00610E3B">
        <w:rPr>
          <w:lang w:val="fr-LU"/>
        </w:rPr>
        <w:lastRenderedPageBreak/>
        <w:t xml:space="preserve"> Ai</w:t>
      </w:r>
      <w:r w:rsidR="000D13EF" w:rsidRPr="00610E3B">
        <w:rPr>
          <w:lang w:val="fr-LU"/>
        </w:rPr>
        <w:t>der le CICR à renforcer l</w:t>
      </w:r>
      <w:r w:rsidR="00F63F60" w:rsidRPr="00610E3B">
        <w:rPr>
          <w:lang w:val="fr-FR"/>
        </w:rPr>
        <w:t>es capacités locales</w:t>
      </w:r>
      <w:r w:rsidR="000D13EF" w:rsidRPr="00610E3B">
        <w:rPr>
          <w:lang w:val="fr-FR"/>
        </w:rPr>
        <w:t xml:space="preserve"> en matière de sensibilisation et de prévention</w:t>
      </w:r>
      <w:r w:rsidR="00F63F60" w:rsidRPr="00610E3B">
        <w:rPr>
          <w:lang w:val="fr-FR"/>
        </w:rPr>
        <w:t xml:space="preserve">, notamment par le biais d’un projet de recherche sur les violences sexuelles dans </w:t>
      </w:r>
      <w:r w:rsidR="00817D18" w:rsidRPr="00610E3B">
        <w:rPr>
          <w:lang w:val="fr-FR"/>
        </w:rPr>
        <w:t xml:space="preserve">deux contextes </w:t>
      </w:r>
      <w:r w:rsidR="00F63F60" w:rsidRPr="00610E3B">
        <w:rPr>
          <w:lang w:val="fr-FR"/>
        </w:rPr>
        <w:t>différents en Afrique</w:t>
      </w:r>
      <w:r w:rsidR="000D13EF" w:rsidRPr="00610E3B">
        <w:rPr>
          <w:lang w:val="fr-FR"/>
        </w:rPr>
        <w:t>.</w:t>
      </w:r>
    </w:p>
    <w:p w14:paraId="44667DF7" w14:textId="30881761" w:rsidR="00EE55B4" w:rsidRPr="00610E3B" w:rsidRDefault="00EE55B4" w:rsidP="008A7DBD">
      <w:pPr>
        <w:pStyle w:val="Paragraphedeliste"/>
        <w:jc w:val="both"/>
        <w:rPr>
          <w:lang w:val="fr-FR"/>
        </w:rPr>
      </w:pPr>
    </w:p>
    <w:p w14:paraId="35A04BC8" w14:textId="7DE7C6F7" w:rsidR="002B6D37" w:rsidRPr="00610E3B" w:rsidRDefault="002B6D37" w:rsidP="00840968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610E3B">
        <w:rPr>
          <w:lang w:val="fr-FR"/>
        </w:rPr>
        <w:t xml:space="preserve">Le gouvernement du Grand-Duché de Luxembourg </w:t>
      </w:r>
      <w:r w:rsidRPr="00610E3B">
        <w:rPr>
          <w:b/>
          <w:lang w:val="fr-FR"/>
        </w:rPr>
        <w:t>s’engage à diffuser et promouvoir le droit international humanitaire,</w:t>
      </w:r>
      <w:r w:rsidRPr="00610E3B">
        <w:rPr>
          <w:lang w:val="fr-FR"/>
        </w:rPr>
        <w:t xml:space="preserve"> notamment les dispositions existantes qui interdisent les violences sexuelles et sexistes dans les conflits armés, de la façon la plus large au Luxembourg, et en particulier : </w:t>
      </w:r>
    </w:p>
    <w:p w14:paraId="74F101C8" w14:textId="28E02DFA" w:rsidR="00840968" w:rsidRPr="00610E3B" w:rsidRDefault="00840968" w:rsidP="00463541">
      <w:pPr>
        <w:pStyle w:val="Paragraphedeliste"/>
        <w:numPr>
          <w:ilvl w:val="1"/>
          <w:numId w:val="3"/>
        </w:numPr>
        <w:rPr>
          <w:lang w:val="fr-FR"/>
        </w:rPr>
      </w:pPr>
      <w:r w:rsidRPr="00610E3B">
        <w:rPr>
          <w:lang w:val="fr-FR"/>
        </w:rPr>
        <w:t>Renforcer les formations dans le domaine du genre et veiller à ce que la question des violences sexuelles et sexistes dans les conflits armés figure dans les programmes d’instruction et les codes de conduite des forces armées</w:t>
      </w:r>
    </w:p>
    <w:p w14:paraId="0B4415A7" w14:textId="7138BE0F" w:rsidR="00840968" w:rsidRPr="00610E3B" w:rsidRDefault="00840968" w:rsidP="00463541">
      <w:pPr>
        <w:pStyle w:val="Paragraphedeliste"/>
        <w:numPr>
          <w:ilvl w:val="1"/>
          <w:numId w:val="3"/>
        </w:numPr>
        <w:rPr>
          <w:lang w:val="fr-FR"/>
        </w:rPr>
      </w:pPr>
      <w:r w:rsidRPr="00610E3B">
        <w:rPr>
          <w:lang w:val="fr-FR"/>
        </w:rPr>
        <w:t xml:space="preserve">Promouvoir une politique de tolérance zéro face aux harcèlements sexuels et moraux </w:t>
      </w:r>
    </w:p>
    <w:p w14:paraId="61881B16" w14:textId="1D08B26B" w:rsidR="002B6D37" w:rsidRPr="002B6D37" w:rsidRDefault="002B6D37" w:rsidP="008E5A93">
      <w:pPr>
        <w:pStyle w:val="Paragraphedeliste"/>
        <w:ind w:left="1440"/>
        <w:rPr>
          <w:lang w:val="fr-FR"/>
        </w:rPr>
      </w:pPr>
    </w:p>
    <w:p w14:paraId="688EDAA9" w14:textId="77777777" w:rsidR="00EA3037" w:rsidRPr="00EA3037" w:rsidRDefault="00EA3037" w:rsidP="00EA3037">
      <w:pPr>
        <w:pStyle w:val="Paragraphedeliste"/>
        <w:spacing w:after="0"/>
        <w:jc w:val="both"/>
        <w:rPr>
          <w:lang w:val="fr-FR"/>
        </w:rPr>
      </w:pPr>
    </w:p>
    <w:p w14:paraId="4B678226" w14:textId="77777777" w:rsidR="008B3B31" w:rsidRDefault="008B3B31" w:rsidP="00EA3037">
      <w:pPr>
        <w:pStyle w:val="Paragraphedeliste"/>
        <w:numPr>
          <w:ilvl w:val="0"/>
          <w:numId w:val="1"/>
        </w:numPr>
        <w:spacing w:after="0"/>
        <w:rPr>
          <w:b/>
          <w:lang w:val="fr-FR"/>
        </w:rPr>
      </w:pPr>
      <w:r w:rsidRPr="00B95D43">
        <w:rPr>
          <w:b/>
          <w:lang w:val="fr-FR"/>
        </w:rPr>
        <w:t>Indicateurs de mesure des progrès accomplis</w:t>
      </w:r>
    </w:p>
    <w:p w14:paraId="5CF8D634" w14:textId="77777777" w:rsidR="00EA3037" w:rsidRPr="00B95D43" w:rsidRDefault="00EA3037" w:rsidP="00EA3037">
      <w:pPr>
        <w:pStyle w:val="Paragraphedeliste"/>
        <w:spacing w:after="0"/>
        <w:rPr>
          <w:b/>
          <w:lang w:val="fr-FR"/>
        </w:rPr>
      </w:pPr>
    </w:p>
    <w:p w14:paraId="4693D0DF" w14:textId="3934D7CB" w:rsidR="00EA2E9F" w:rsidRPr="008A7DBD" w:rsidRDefault="004A423B" w:rsidP="00790AA5">
      <w:pPr>
        <w:pStyle w:val="Indent1"/>
        <w:numPr>
          <w:ilvl w:val="0"/>
          <w:numId w:val="5"/>
        </w:numPr>
        <w:tabs>
          <w:tab w:val="clear" w:pos="396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déterminer</w:t>
      </w:r>
    </w:p>
    <w:p w14:paraId="2FC0C651" w14:textId="77777777" w:rsidR="008B3B31" w:rsidRPr="00CB3A16" w:rsidRDefault="008B3B31" w:rsidP="00EA3037">
      <w:pPr>
        <w:spacing w:after="0"/>
        <w:rPr>
          <w:b/>
          <w:lang w:val="fr-FR"/>
        </w:rPr>
      </w:pPr>
    </w:p>
    <w:p w14:paraId="1184D9F6" w14:textId="77777777" w:rsidR="008B3B31" w:rsidRDefault="008B3B31" w:rsidP="00EA3037">
      <w:pPr>
        <w:pStyle w:val="Paragraphedeliste"/>
        <w:numPr>
          <w:ilvl w:val="0"/>
          <w:numId w:val="1"/>
        </w:numPr>
        <w:spacing w:after="0"/>
        <w:rPr>
          <w:b/>
          <w:lang w:val="fr-FR"/>
        </w:rPr>
      </w:pPr>
      <w:r w:rsidRPr="00CB3A16">
        <w:rPr>
          <w:b/>
          <w:lang w:val="fr-FR"/>
        </w:rPr>
        <w:t>Incidences sur le plan des ressources</w:t>
      </w:r>
    </w:p>
    <w:p w14:paraId="30AA5F40" w14:textId="77777777" w:rsidR="00EA3037" w:rsidRDefault="00EA3037" w:rsidP="00EA3037">
      <w:pPr>
        <w:pStyle w:val="Paragraphedeliste"/>
        <w:spacing w:after="0"/>
        <w:rPr>
          <w:b/>
          <w:lang w:val="fr-FR"/>
        </w:rPr>
      </w:pPr>
    </w:p>
    <w:p w14:paraId="0A215393" w14:textId="66300D88" w:rsidR="00EA3037" w:rsidRPr="00D46ECD" w:rsidRDefault="00C65399" w:rsidP="00EA3037">
      <w:pPr>
        <w:pStyle w:val="Indent1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6ECD">
        <w:rPr>
          <w:rFonts w:asciiTheme="minorHAnsi" w:hAnsiTheme="minorHAnsi" w:cstheme="minorHAnsi"/>
          <w:sz w:val="22"/>
          <w:szCs w:val="22"/>
        </w:rPr>
        <w:t>N/A</w:t>
      </w:r>
    </w:p>
    <w:p w14:paraId="3B8FDE35" w14:textId="77777777" w:rsidR="00EA3037" w:rsidRPr="00EA3037" w:rsidRDefault="00EA3037" w:rsidP="00EA3037">
      <w:pPr>
        <w:rPr>
          <w:b/>
          <w:lang w:val="fr-FR"/>
        </w:rPr>
      </w:pPr>
    </w:p>
    <w:sectPr w:rsidR="00EA3037" w:rsidRPr="00EA30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5DD"/>
    <w:multiLevelType w:val="hybridMultilevel"/>
    <w:tmpl w:val="C61A5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04A8"/>
    <w:multiLevelType w:val="hybridMultilevel"/>
    <w:tmpl w:val="6ACEFAE0"/>
    <w:lvl w:ilvl="0" w:tplc="07EA11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57F21"/>
    <w:multiLevelType w:val="hybridMultilevel"/>
    <w:tmpl w:val="37F87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C22D5"/>
    <w:multiLevelType w:val="hybridMultilevel"/>
    <w:tmpl w:val="83A4B1EA"/>
    <w:lvl w:ilvl="0" w:tplc="F6B656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790B"/>
    <w:multiLevelType w:val="hybridMultilevel"/>
    <w:tmpl w:val="5A9ECC3C"/>
    <w:lvl w:ilvl="0" w:tplc="69A41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A64EE"/>
    <w:multiLevelType w:val="hybridMultilevel"/>
    <w:tmpl w:val="6FC4280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04F4"/>
    <w:multiLevelType w:val="hybridMultilevel"/>
    <w:tmpl w:val="757A59DA"/>
    <w:lvl w:ilvl="0" w:tplc="F6B65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E0E06"/>
    <w:multiLevelType w:val="hybridMultilevel"/>
    <w:tmpl w:val="A3CE930E"/>
    <w:lvl w:ilvl="0" w:tplc="F6B656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64F980">
      <w:start w:val="2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54D9"/>
    <w:multiLevelType w:val="hybridMultilevel"/>
    <w:tmpl w:val="03CE3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1"/>
    <w:rsid w:val="000469B6"/>
    <w:rsid w:val="00052ACC"/>
    <w:rsid w:val="00090157"/>
    <w:rsid w:val="000C6B08"/>
    <w:rsid w:val="000D13EF"/>
    <w:rsid w:val="000F188A"/>
    <w:rsid w:val="0010362A"/>
    <w:rsid w:val="00140B8A"/>
    <w:rsid w:val="0016386E"/>
    <w:rsid w:val="00183E2E"/>
    <w:rsid w:val="00186DDF"/>
    <w:rsid w:val="00233288"/>
    <w:rsid w:val="00251F86"/>
    <w:rsid w:val="00282DCB"/>
    <w:rsid w:val="002A76D4"/>
    <w:rsid w:val="002B6D37"/>
    <w:rsid w:val="003350E3"/>
    <w:rsid w:val="0038006C"/>
    <w:rsid w:val="00381471"/>
    <w:rsid w:val="003A1F7B"/>
    <w:rsid w:val="003D4711"/>
    <w:rsid w:val="003D71F8"/>
    <w:rsid w:val="0040049A"/>
    <w:rsid w:val="00415A83"/>
    <w:rsid w:val="0045495B"/>
    <w:rsid w:val="00463541"/>
    <w:rsid w:val="004A423B"/>
    <w:rsid w:val="004D6A67"/>
    <w:rsid w:val="004F42DC"/>
    <w:rsid w:val="005323E6"/>
    <w:rsid w:val="005505A1"/>
    <w:rsid w:val="00553A13"/>
    <w:rsid w:val="005E46A6"/>
    <w:rsid w:val="005E5082"/>
    <w:rsid w:val="00610E3B"/>
    <w:rsid w:val="0062626B"/>
    <w:rsid w:val="00627E9D"/>
    <w:rsid w:val="00672718"/>
    <w:rsid w:val="00682DBB"/>
    <w:rsid w:val="006E1581"/>
    <w:rsid w:val="007C1425"/>
    <w:rsid w:val="007F4D52"/>
    <w:rsid w:val="0081005D"/>
    <w:rsid w:val="00817D18"/>
    <w:rsid w:val="00840968"/>
    <w:rsid w:val="00877BAF"/>
    <w:rsid w:val="008A7DBD"/>
    <w:rsid w:val="008B3B31"/>
    <w:rsid w:val="008D477F"/>
    <w:rsid w:val="008E5A93"/>
    <w:rsid w:val="008F599C"/>
    <w:rsid w:val="009B7DA0"/>
    <w:rsid w:val="009D39EE"/>
    <w:rsid w:val="00A10BC5"/>
    <w:rsid w:val="00A6713F"/>
    <w:rsid w:val="00A75AB4"/>
    <w:rsid w:val="00A97747"/>
    <w:rsid w:val="00AB17F2"/>
    <w:rsid w:val="00AB2D8A"/>
    <w:rsid w:val="00AC1623"/>
    <w:rsid w:val="00B07A4A"/>
    <w:rsid w:val="00B60ED3"/>
    <w:rsid w:val="00B95D43"/>
    <w:rsid w:val="00BA04AA"/>
    <w:rsid w:val="00C23B6C"/>
    <w:rsid w:val="00C5422D"/>
    <w:rsid w:val="00C65399"/>
    <w:rsid w:val="00CB2158"/>
    <w:rsid w:val="00CB3A16"/>
    <w:rsid w:val="00CD6803"/>
    <w:rsid w:val="00CE1A8A"/>
    <w:rsid w:val="00CE23C2"/>
    <w:rsid w:val="00D46ECD"/>
    <w:rsid w:val="00D66E87"/>
    <w:rsid w:val="00D7084B"/>
    <w:rsid w:val="00DE6BA8"/>
    <w:rsid w:val="00DF20A8"/>
    <w:rsid w:val="00E33882"/>
    <w:rsid w:val="00EA2E9F"/>
    <w:rsid w:val="00EA3037"/>
    <w:rsid w:val="00EE55B4"/>
    <w:rsid w:val="00EE698A"/>
    <w:rsid w:val="00F02CF7"/>
    <w:rsid w:val="00F449FE"/>
    <w:rsid w:val="00F53177"/>
    <w:rsid w:val="00F5530F"/>
    <w:rsid w:val="00F63F60"/>
    <w:rsid w:val="00F84E5D"/>
    <w:rsid w:val="00F92043"/>
    <w:rsid w:val="00FC21F5"/>
    <w:rsid w:val="00FC67DD"/>
    <w:rsid w:val="00FF13AC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B34B"/>
  <w15:chartTrackingRefBased/>
  <w15:docId w15:val="{F71AE6E5-4819-4696-8A48-6C6A0EA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B31"/>
    <w:pPr>
      <w:ind w:left="720"/>
      <w:contextualSpacing/>
    </w:pPr>
  </w:style>
  <w:style w:type="paragraph" w:customStyle="1" w:styleId="Indent1">
    <w:name w:val="Indent 1"/>
    <w:basedOn w:val="Normal"/>
    <w:rsid w:val="008B3B31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spacing w:after="0" w:line="240" w:lineRule="auto"/>
      <w:ind w:left="396" w:hanging="39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40B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0B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0B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0B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0B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B8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53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B5A1-FF77-479A-8CEB-B274F2EA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5402</Characters>
  <Application>Microsoft Office Word</Application>
  <DocSecurity>4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Kayser</dc:creator>
  <cp:keywords/>
  <dc:description/>
  <cp:lastModifiedBy>Sandra Merens</cp:lastModifiedBy>
  <cp:revision>2</cp:revision>
  <dcterms:created xsi:type="dcterms:W3CDTF">2020-06-29T08:52:00Z</dcterms:created>
  <dcterms:modified xsi:type="dcterms:W3CDTF">2020-06-29T08:52:00Z</dcterms:modified>
</cp:coreProperties>
</file>