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FE" w:rsidRPr="00B45104" w:rsidRDefault="006E754A" w:rsidP="00C403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b/>
          <w:sz w:val="24"/>
          <w:szCs w:val="24"/>
        </w:rPr>
        <w:t>Pledge on promotion and strengthening of the</w:t>
      </w:r>
      <w:r w:rsidR="00ED0B25" w:rsidRPr="00B45104">
        <w:rPr>
          <w:rFonts w:ascii="Times New Roman" w:hAnsi="Times New Roman" w:cs="Times New Roman"/>
          <w:b/>
          <w:sz w:val="24"/>
          <w:szCs w:val="24"/>
        </w:rPr>
        <w:t xml:space="preserve"> work of the National Committee</w:t>
      </w:r>
      <w:r w:rsidRPr="00B4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768" w:rsidRPr="00B45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</w:t>
      </w:r>
      <w:r w:rsidRPr="00B45104">
        <w:rPr>
          <w:rFonts w:ascii="Times New Roman" w:hAnsi="Times New Roman" w:cs="Times New Roman"/>
          <w:b/>
          <w:sz w:val="24"/>
          <w:szCs w:val="24"/>
        </w:rPr>
        <w:t>International Humanitarian Law</w:t>
      </w:r>
      <w:r w:rsidR="00ED0B25" w:rsidRPr="00B45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Bulgaria</w:t>
      </w:r>
    </w:p>
    <w:p w:rsidR="00815D1C" w:rsidRPr="00B45104" w:rsidRDefault="00815D1C" w:rsidP="00815D1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5104">
        <w:rPr>
          <w:rFonts w:ascii="Times New Roman" w:hAnsi="Times New Roman" w:cs="Times New Roman"/>
          <w:sz w:val="24"/>
          <w:szCs w:val="24"/>
          <w:lang w:val="en-GB"/>
        </w:rPr>
        <w:t>Bulgaria – Government and National Society</w:t>
      </w:r>
    </w:p>
    <w:p w:rsidR="00ED0B25" w:rsidRPr="00B45104" w:rsidRDefault="00815D1C" w:rsidP="00815D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GB"/>
        </w:rPr>
        <w:t>Pledge –</w:t>
      </w:r>
      <w:r w:rsidR="00C403ED" w:rsidRPr="00B451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5104" w:rsidRPr="00B45104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5D1C" w:rsidRPr="00B45104" w:rsidRDefault="00815D1C" w:rsidP="00257D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7D7C" w:rsidRPr="00B45104" w:rsidRDefault="00257D7C" w:rsidP="00257D7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451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A) Objectives of the pledge:</w:t>
      </w:r>
    </w:p>
    <w:p w:rsidR="00ED0B25" w:rsidRPr="00B45104" w:rsidRDefault="00ED0B25" w:rsidP="00815D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57D7C" w:rsidRPr="00B45104">
        <w:rPr>
          <w:rFonts w:ascii="Times New Roman" w:hAnsi="Times New Roman" w:cs="Times New Roman"/>
          <w:sz w:val="24"/>
          <w:szCs w:val="24"/>
          <w:lang w:val="en-US"/>
        </w:rPr>
        <w:t>ecogniz</w:t>
      </w:r>
      <w:r w:rsidRPr="00B4510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57D7C"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 the important work that National Committees on International Humanitarian Law (</w:t>
      </w:r>
      <w:r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NC </w:t>
      </w:r>
      <w:r w:rsidR="00257D7C" w:rsidRPr="00B45104">
        <w:rPr>
          <w:rFonts w:ascii="Times New Roman" w:hAnsi="Times New Roman" w:cs="Times New Roman"/>
          <w:sz w:val="24"/>
          <w:szCs w:val="24"/>
          <w:lang w:val="en-US"/>
        </w:rPr>
        <w:t>IHL) have accomplished to promote knowledge and implementation of rules and principles of IHL</w:t>
      </w:r>
      <w:r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, we are committed to promote and strengthen its role as a consultative body for the implementation of IHL in Bulgaria. </w:t>
      </w:r>
    </w:p>
    <w:p w:rsidR="00815D1C" w:rsidRPr="00B45104" w:rsidRDefault="00815D1C" w:rsidP="00815D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D7C" w:rsidRPr="00B45104" w:rsidRDefault="00257D7C" w:rsidP="00257D7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451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B) Action plan:</w:t>
      </w:r>
    </w:p>
    <w:p w:rsidR="00815D1C" w:rsidRPr="00B45104" w:rsidRDefault="00815D1C" w:rsidP="00257D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The Government and the National Society of Bulgaria jointly pledge </w:t>
      </w:r>
    </w:p>
    <w:p w:rsidR="00257D7C" w:rsidRPr="00B45104" w:rsidRDefault="00257D7C" w:rsidP="00815D1C">
      <w:pPr>
        <w:pStyle w:val="ListParagraph"/>
        <w:shd w:val="clear" w:color="auto" w:fill="D6E3BC" w:themeFill="accent3" w:themeFillTint="66"/>
        <w:ind w:left="426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45104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910EE8" w:rsidRPr="00B451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451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IHL implementation at the </w:t>
      </w:r>
      <w:r w:rsidR="00666768" w:rsidRPr="00B451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level of </w:t>
      </w:r>
      <w:r w:rsidR="00815D1C" w:rsidRPr="00B45104">
        <w:rPr>
          <w:rFonts w:ascii="Times New Roman" w:hAnsi="Times New Roman" w:cs="Times New Roman"/>
          <w:b/>
          <w:sz w:val="24"/>
          <w:szCs w:val="24"/>
          <w:lang w:val="en-GB"/>
        </w:rPr>
        <w:t>national legal frameworks</w:t>
      </w:r>
    </w:p>
    <w:p w:rsidR="00815D1C" w:rsidRPr="00B45104" w:rsidRDefault="00910EE8" w:rsidP="00917DC1">
      <w:pPr>
        <w:pStyle w:val="ListParagraph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>to undertake a compatibility study of the national implementation of international humanitarian law through review of the national legislation</w:t>
      </w:r>
      <w:r w:rsidR="00815D1C" w:rsidRPr="00B451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7D7C" w:rsidRPr="00B45104" w:rsidRDefault="00815D1C" w:rsidP="00917DC1">
      <w:pPr>
        <w:pStyle w:val="ListParagraph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510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EE8"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propose </w:t>
      </w:r>
      <w:r w:rsidR="00257D7C"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measures to implement IHL, including </w:t>
      </w:r>
      <w:r w:rsidR="00666768"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measures of </w:t>
      </w:r>
      <w:r w:rsidR="00257D7C" w:rsidRPr="00B45104">
        <w:rPr>
          <w:rFonts w:ascii="Times New Roman" w:hAnsi="Times New Roman" w:cs="Times New Roman"/>
          <w:sz w:val="24"/>
          <w:szCs w:val="24"/>
          <w:lang w:val="en-US"/>
        </w:rPr>
        <w:t>regulatory nature, public policies, dissemination, among others.</w:t>
      </w:r>
    </w:p>
    <w:p w:rsidR="00815D1C" w:rsidRPr="00B45104" w:rsidRDefault="00815D1C" w:rsidP="00815D1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D7C" w:rsidRPr="00B45104" w:rsidRDefault="00257D7C" w:rsidP="00815D1C">
      <w:pPr>
        <w:pStyle w:val="ListParagraph"/>
        <w:shd w:val="clear" w:color="auto" w:fill="D6E3BC" w:themeFill="accent3" w:themeFillTint="66"/>
        <w:ind w:left="426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45104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="00910EE8" w:rsidRPr="00B451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15D1C" w:rsidRPr="00B45104">
        <w:rPr>
          <w:rFonts w:ascii="Times New Roman" w:hAnsi="Times New Roman" w:cs="Times New Roman"/>
          <w:b/>
          <w:sz w:val="24"/>
          <w:szCs w:val="24"/>
          <w:lang w:val="en-GB"/>
        </w:rPr>
        <w:t>Dissemination of IHL</w:t>
      </w:r>
    </w:p>
    <w:p w:rsidR="00257D7C" w:rsidRPr="00A15240" w:rsidRDefault="00815D1C" w:rsidP="00917DC1">
      <w:pPr>
        <w:pStyle w:val="ListParagraph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240">
        <w:rPr>
          <w:rFonts w:ascii="Times New Roman" w:hAnsi="Times New Roman" w:cs="Times New Roman"/>
          <w:sz w:val="24"/>
          <w:szCs w:val="24"/>
          <w:lang w:val="en-US"/>
        </w:rPr>
        <w:t>to p</w:t>
      </w:r>
      <w:r w:rsidR="00257D7C" w:rsidRPr="00A15240">
        <w:rPr>
          <w:rFonts w:ascii="Times New Roman" w:hAnsi="Times New Roman" w:cs="Times New Roman"/>
          <w:sz w:val="24"/>
          <w:szCs w:val="24"/>
          <w:lang w:val="en-US"/>
        </w:rPr>
        <w:t>romo</w:t>
      </w:r>
      <w:r w:rsidR="00910EE8" w:rsidRPr="00A15240">
        <w:rPr>
          <w:rFonts w:ascii="Times New Roman" w:hAnsi="Times New Roman" w:cs="Times New Roman"/>
          <w:sz w:val="24"/>
          <w:szCs w:val="24"/>
          <w:lang w:val="en-US"/>
        </w:rPr>
        <w:t xml:space="preserve">te the dissemination of IHL through trainings to different stakeholders </w:t>
      </w:r>
      <w:r w:rsidR="00257D7C" w:rsidRPr="00A15240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910EE8" w:rsidRPr="00A15240">
        <w:rPr>
          <w:rFonts w:ascii="Times New Roman" w:hAnsi="Times New Roman" w:cs="Times New Roman"/>
          <w:sz w:val="24"/>
          <w:szCs w:val="24"/>
          <w:lang w:val="en-US"/>
        </w:rPr>
        <w:t xml:space="preserve">academia (researchers, professors, university authorities, students), </w:t>
      </w:r>
      <w:r w:rsidR="00257D7C" w:rsidRPr="00A15240">
        <w:rPr>
          <w:rFonts w:ascii="Times New Roman" w:hAnsi="Times New Roman" w:cs="Times New Roman"/>
          <w:sz w:val="24"/>
          <w:szCs w:val="24"/>
          <w:lang w:val="en-US"/>
        </w:rPr>
        <w:t>armed and police forces, prosecutors, judges, public officials, lawyers</w:t>
      </w:r>
      <w:r w:rsidR="00910EE8" w:rsidRPr="00A15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D7C" w:rsidRPr="00A15240">
        <w:rPr>
          <w:rFonts w:ascii="Times New Roman" w:hAnsi="Times New Roman" w:cs="Times New Roman"/>
          <w:sz w:val="24"/>
          <w:szCs w:val="24"/>
          <w:lang w:val="en-US"/>
        </w:rPr>
        <w:t>among others</w:t>
      </w:r>
      <w:r w:rsidRPr="00A152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5240" w:rsidRPr="00A15240" w:rsidRDefault="00815D1C" w:rsidP="00A15240">
      <w:pPr>
        <w:pStyle w:val="ListParagraph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240">
        <w:rPr>
          <w:rFonts w:ascii="Times New Roman" w:hAnsi="Times New Roman" w:cs="Times New Roman"/>
          <w:sz w:val="24"/>
          <w:szCs w:val="24"/>
          <w:lang w:val="en-US"/>
        </w:rPr>
        <w:t xml:space="preserve">to work </w:t>
      </w:r>
      <w:r w:rsidR="00257D7C" w:rsidRPr="00A15240">
        <w:rPr>
          <w:rFonts w:ascii="Times New Roman" w:hAnsi="Times New Roman" w:cs="Times New Roman"/>
          <w:sz w:val="24"/>
          <w:szCs w:val="24"/>
          <w:lang w:val="en-US"/>
        </w:rPr>
        <w:t>with the academia to strengthen the dissemination of IHL</w:t>
      </w:r>
      <w:r w:rsidRPr="00A152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7D7C" w:rsidRPr="00A15240" w:rsidRDefault="00A15240" w:rsidP="00917DC1">
      <w:pPr>
        <w:pStyle w:val="ListParagraph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524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15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240">
        <w:rPr>
          <w:rFonts w:ascii="Times New Roman" w:hAnsi="Times New Roman" w:cs="Times New Roman"/>
          <w:sz w:val="24"/>
          <w:szCs w:val="24"/>
        </w:rPr>
        <w:t>organize expert meetings and dissemination events</w:t>
      </w:r>
      <w:r w:rsidRPr="00A15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D7C" w:rsidRPr="00A15240">
        <w:rPr>
          <w:rFonts w:ascii="Times New Roman" w:hAnsi="Times New Roman" w:cs="Times New Roman"/>
          <w:sz w:val="24"/>
          <w:szCs w:val="24"/>
          <w:lang w:val="en-US"/>
        </w:rPr>
        <w:t>to generate exchanges among different actors involved with IHL.</w:t>
      </w:r>
    </w:p>
    <w:p w:rsidR="00257D7C" w:rsidRPr="00B45104" w:rsidRDefault="00257D7C" w:rsidP="00815D1C">
      <w:pPr>
        <w:pStyle w:val="ListParagraph"/>
        <w:shd w:val="clear" w:color="auto" w:fill="D6E3BC" w:themeFill="accent3" w:themeFillTint="66"/>
        <w:ind w:left="426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45104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="00910EE8" w:rsidRPr="00B451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40D1E">
        <w:rPr>
          <w:rFonts w:ascii="Times New Roman" w:hAnsi="Times New Roman" w:cs="Times New Roman"/>
          <w:b/>
          <w:sz w:val="24"/>
          <w:szCs w:val="24"/>
          <w:lang w:val="en-GB"/>
        </w:rPr>
        <w:t>Exchange of information</w:t>
      </w:r>
    </w:p>
    <w:p w:rsidR="00257D7C" w:rsidRPr="00B45104" w:rsidRDefault="00815D1C" w:rsidP="00917DC1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>to p</w:t>
      </w:r>
      <w:r w:rsidR="00257D7C" w:rsidRPr="00B45104">
        <w:rPr>
          <w:rFonts w:ascii="Times New Roman" w:hAnsi="Times New Roman" w:cs="Times New Roman"/>
          <w:sz w:val="24"/>
          <w:szCs w:val="24"/>
          <w:lang w:val="en-US"/>
        </w:rPr>
        <w:t>articipate in regional and universal meetings of national committees on IHL, whenever possible</w:t>
      </w:r>
      <w:r w:rsidRPr="00B451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7D7C" w:rsidRPr="00B45104" w:rsidRDefault="00815D1C" w:rsidP="00917DC1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>to p</w:t>
      </w:r>
      <w:r w:rsidR="00257D7C" w:rsidRPr="00B45104">
        <w:rPr>
          <w:rFonts w:ascii="Times New Roman" w:hAnsi="Times New Roman" w:cs="Times New Roman"/>
          <w:sz w:val="24"/>
          <w:szCs w:val="24"/>
          <w:lang w:val="en-US"/>
        </w:rPr>
        <w:t>romote the exchange of information among national committees</w:t>
      </w:r>
      <w:r w:rsidRPr="00B451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7D7C" w:rsidRPr="00B45104" w:rsidRDefault="00815D1C" w:rsidP="00917DC1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510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257D7C" w:rsidRPr="00B45104">
        <w:rPr>
          <w:rFonts w:ascii="Times New Roman" w:hAnsi="Times New Roman" w:cs="Times New Roman"/>
          <w:sz w:val="24"/>
          <w:szCs w:val="24"/>
          <w:lang w:val="en-US"/>
        </w:rPr>
        <w:t>romote the participation of national committees on IHL in the digital community for national committees and similar entities on IHL, promoted by the ICRC.</w:t>
      </w:r>
    </w:p>
    <w:p w:rsidR="00917DC1" w:rsidRPr="00B45104" w:rsidRDefault="00917DC1" w:rsidP="00917DC1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4FDD" w:rsidRPr="00B45104" w:rsidRDefault="005A4FDD" w:rsidP="005A4FD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451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C) Indicators for measuring progress:</w:t>
      </w:r>
    </w:p>
    <w:p w:rsidR="005A4FDD" w:rsidRPr="00B45104" w:rsidRDefault="005A4FDD" w:rsidP="00815D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>Number of meetings held by the national committee on IHL per year.</w:t>
      </w:r>
    </w:p>
    <w:p w:rsidR="005A4FDD" w:rsidRPr="00B45104" w:rsidRDefault="005A4FDD" w:rsidP="00815D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>Number of trainings, meetings of experts, working groups, among other activities related to IHL.</w:t>
      </w:r>
    </w:p>
    <w:p w:rsidR="005A4FDD" w:rsidRPr="00B45104" w:rsidRDefault="005A4FDD" w:rsidP="00815D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Number of exchanges of information, in person or </w:t>
      </w:r>
      <w:r w:rsidR="00666768" w:rsidRPr="00B451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B45104">
        <w:rPr>
          <w:rFonts w:ascii="Times New Roman" w:hAnsi="Times New Roman" w:cs="Times New Roman"/>
          <w:sz w:val="24"/>
          <w:szCs w:val="24"/>
          <w:lang w:val="en-US"/>
        </w:rPr>
        <w:t>digital form, among national committees on IHL.</w:t>
      </w:r>
    </w:p>
    <w:p w:rsidR="00257D7C" w:rsidRPr="00B45104" w:rsidRDefault="005A4FDD" w:rsidP="00815D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>Number of follow-up reports related to the progress on IHL.</w:t>
      </w:r>
    </w:p>
    <w:p w:rsidR="00917DC1" w:rsidRPr="00B45104" w:rsidRDefault="00917DC1" w:rsidP="00917D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57D7C" w:rsidRPr="00B45104" w:rsidRDefault="00231540" w:rsidP="0023154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451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D) Resource implications:</w:t>
      </w:r>
    </w:p>
    <w:p w:rsidR="00FD591E" w:rsidRPr="00B45104" w:rsidRDefault="00FD591E" w:rsidP="002315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5104">
        <w:rPr>
          <w:rFonts w:ascii="Times New Roman" w:hAnsi="Times New Roman" w:cs="Times New Roman"/>
          <w:sz w:val="24"/>
          <w:szCs w:val="24"/>
          <w:lang w:val="en-US"/>
        </w:rPr>
        <w:t>N/A</w:t>
      </w:r>
      <w:bookmarkStart w:id="0" w:name="_GoBack"/>
      <w:bookmarkEnd w:id="0"/>
    </w:p>
    <w:sectPr w:rsidR="00FD591E" w:rsidRPr="00B4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B86"/>
    <w:multiLevelType w:val="hybridMultilevel"/>
    <w:tmpl w:val="018A8D4A"/>
    <w:lvl w:ilvl="0" w:tplc="A7BC5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145"/>
    <w:multiLevelType w:val="hybridMultilevel"/>
    <w:tmpl w:val="74046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94B59"/>
    <w:multiLevelType w:val="hybridMultilevel"/>
    <w:tmpl w:val="5A8282A6"/>
    <w:lvl w:ilvl="0" w:tplc="711813E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C05E4BD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3184"/>
    <w:multiLevelType w:val="hybridMultilevel"/>
    <w:tmpl w:val="A01E3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3499B"/>
    <w:multiLevelType w:val="hybridMultilevel"/>
    <w:tmpl w:val="19E49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81DE6"/>
    <w:multiLevelType w:val="hybridMultilevel"/>
    <w:tmpl w:val="7E840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E"/>
    <w:rsid w:val="00231540"/>
    <w:rsid w:val="00257D7C"/>
    <w:rsid w:val="00402F55"/>
    <w:rsid w:val="004357A5"/>
    <w:rsid w:val="00440D1E"/>
    <w:rsid w:val="005A4FDD"/>
    <w:rsid w:val="00666768"/>
    <w:rsid w:val="006E754A"/>
    <w:rsid w:val="007368FE"/>
    <w:rsid w:val="00744F7D"/>
    <w:rsid w:val="00815D1C"/>
    <w:rsid w:val="00910EE8"/>
    <w:rsid w:val="00917DC1"/>
    <w:rsid w:val="009C5160"/>
    <w:rsid w:val="00A15240"/>
    <w:rsid w:val="00B45104"/>
    <w:rsid w:val="00BA5103"/>
    <w:rsid w:val="00BE210E"/>
    <w:rsid w:val="00C403ED"/>
    <w:rsid w:val="00ED0B25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5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5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3</cp:revision>
  <dcterms:created xsi:type="dcterms:W3CDTF">2020-03-24T12:17:00Z</dcterms:created>
  <dcterms:modified xsi:type="dcterms:W3CDTF">2020-03-24T16:50:00Z</dcterms:modified>
</cp:coreProperties>
</file>