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7AC4" w14:textId="76DD10CD" w:rsidR="009C675B" w:rsidRPr="000C5CDA" w:rsidRDefault="00B75D94" w:rsidP="009C675B">
      <w:pPr>
        <w:pStyle w:val="BodySingle"/>
        <w:jc w:val="center"/>
        <w:rPr>
          <w:rFonts w:cs="Arial"/>
          <w:sz w:val="22"/>
          <w:szCs w:val="22"/>
          <w:lang w:val="es-ES_tradnl"/>
        </w:rPr>
      </w:pPr>
      <w:r w:rsidRPr="000C5CDA">
        <w:rPr>
          <w:rFonts w:ascii="Times New Roman" w:hAnsi="Times New Roman"/>
          <w:noProof/>
          <w:sz w:val="24"/>
          <w:szCs w:val="24"/>
          <w:lang w:val="es-ES_tradnl"/>
        </w:rPr>
        <w:drawing>
          <wp:inline distT="0" distB="0" distL="0" distR="0" wp14:anchorId="017754F2" wp14:editId="5A02873A">
            <wp:extent cx="3966845" cy="1011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6845" cy="1011555"/>
                    </a:xfrm>
                    <a:prstGeom prst="rect">
                      <a:avLst/>
                    </a:prstGeom>
                    <a:noFill/>
                    <a:ln>
                      <a:noFill/>
                    </a:ln>
                  </pic:spPr>
                </pic:pic>
              </a:graphicData>
            </a:graphic>
          </wp:inline>
        </w:drawing>
      </w:r>
    </w:p>
    <w:p w14:paraId="1A3B7936" w14:textId="77777777" w:rsidR="009C675B" w:rsidRPr="000C5CDA" w:rsidRDefault="009C675B" w:rsidP="009C675B">
      <w:pPr>
        <w:pStyle w:val="BodySingle"/>
        <w:jc w:val="center"/>
        <w:rPr>
          <w:rFonts w:cs="Arial"/>
          <w:sz w:val="22"/>
          <w:szCs w:val="22"/>
          <w:lang w:val="es-ES_tradnl"/>
        </w:rPr>
      </w:pPr>
    </w:p>
    <w:p w14:paraId="76A5D572" w14:textId="77777777" w:rsidR="00186CDE" w:rsidRPr="000C5CDA" w:rsidRDefault="00186CDE" w:rsidP="009C675B">
      <w:pPr>
        <w:pStyle w:val="BodySingle"/>
        <w:jc w:val="center"/>
        <w:rPr>
          <w:rFonts w:cs="Arial"/>
          <w:sz w:val="22"/>
          <w:szCs w:val="22"/>
          <w:lang w:val="es-ES_tradnl"/>
        </w:rPr>
      </w:pPr>
    </w:p>
    <w:p w14:paraId="52FA6588" w14:textId="77777777" w:rsidR="006A7C80" w:rsidRPr="000C5CDA" w:rsidRDefault="006A7C80" w:rsidP="009C675B">
      <w:pPr>
        <w:pStyle w:val="BodySingle"/>
        <w:jc w:val="center"/>
        <w:rPr>
          <w:rFonts w:cs="Arial"/>
          <w:sz w:val="22"/>
          <w:szCs w:val="22"/>
          <w:lang w:val="es-ES_tradnl"/>
        </w:rPr>
      </w:pPr>
    </w:p>
    <w:p w14:paraId="6B15FAA1" w14:textId="65D370F3" w:rsidR="009C675B" w:rsidRPr="000C5CDA" w:rsidRDefault="003B2B8F" w:rsidP="0078454C">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Cs/>
          <w:sz w:val="22"/>
          <w:szCs w:val="22"/>
          <w:lang w:val="es-ES_tradnl"/>
        </w:rPr>
      </w:pPr>
      <w:r w:rsidRPr="000C5CDA">
        <w:rPr>
          <w:rFonts w:ascii="Arial" w:hAnsi="Arial" w:cs="Arial"/>
          <w:b/>
          <w:sz w:val="22"/>
          <w:szCs w:val="22"/>
          <w:lang w:val="es-ES_tradnl"/>
        </w:rPr>
        <w:t>Promesa abierta</w:t>
      </w:r>
    </w:p>
    <w:p w14:paraId="453CE5BA" w14:textId="77777777" w:rsidR="009C675B" w:rsidRPr="000C5CDA" w:rsidRDefault="009C675B" w:rsidP="009C675B">
      <w:pPr>
        <w:pStyle w:val="Indent1"/>
        <w:rPr>
          <w:rFonts w:ascii="Arial" w:hAnsi="Arial" w:cs="Arial"/>
          <w:sz w:val="22"/>
          <w:szCs w:val="22"/>
          <w:lang w:val="es-ES_tradnl"/>
        </w:rPr>
      </w:pPr>
    </w:p>
    <w:p w14:paraId="4C45F87F" w14:textId="0233320C" w:rsidR="009C675B" w:rsidRPr="000C5CDA" w:rsidRDefault="003B2B8F" w:rsidP="009C675B">
      <w:pPr>
        <w:pStyle w:val="Heading1"/>
        <w:rPr>
          <w:szCs w:val="22"/>
          <w:lang w:val="es-ES_tradnl"/>
        </w:rPr>
      </w:pPr>
      <w:r w:rsidRPr="000C5CDA">
        <w:rPr>
          <w:szCs w:val="22"/>
          <w:lang w:val="es-ES_tradnl"/>
        </w:rPr>
        <w:t>Título de la promesa</w:t>
      </w:r>
      <w:r w:rsidR="009C675B" w:rsidRPr="000C5CDA">
        <w:rPr>
          <w:szCs w:val="22"/>
          <w:lang w:val="es-ES_tradnl"/>
        </w:rPr>
        <w:t>:</w:t>
      </w:r>
    </w:p>
    <w:p w14:paraId="335AF781" w14:textId="1432545F" w:rsidR="004072D5" w:rsidRPr="000C5CDA" w:rsidRDefault="003B2B8F" w:rsidP="003B2B8F">
      <w:pPr>
        <w:pStyle w:val="Indent1"/>
        <w:rPr>
          <w:rFonts w:ascii="Arial" w:hAnsi="Arial" w:cs="Arial"/>
          <w:sz w:val="22"/>
          <w:szCs w:val="22"/>
          <w:lang w:val="es-ES_tradnl"/>
        </w:rPr>
      </w:pPr>
      <w:r w:rsidRPr="000C5CDA">
        <w:rPr>
          <w:rFonts w:ascii="Arial" w:hAnsi="Arial" w:cs="Arial"/>
          <w:i/>
          <w:color w:val="2F5496"/>
          <w:sz w:val="22"/>
          <w:szCs w:val="22"/>
          <w:lang w:val="es-ES_tradnl"/>
        </w:rPr>
        <w:t xml:space="preserve">Garantizar la </w:t>
      </w:r>
      <w:r w:rsidR="002C3973" w:rsidRPr="000C5CDA">
        <w:rPr>
          <w:rFonts w:ascii="Arial" w:hAnsi="Arial" w:cs="Arial"/>
          <w:i/>
          <w:color w:val="2F5496"/>
          <w:sz w:val="22"/>
          <w:szCs w:val="22"/>
          <w:lang w:val="es-ES_tradnl"/>
        </w:rPr>
        <w:t xml:space="preserve">protección </w:t>
      </w:r>
      <w:r w:rsidRPr="000C5CDA">
        <w:rPr>
          <w:rFonts w:ascii="Arial" w:hAnsi="Arial" w:cs="Arial"/>
          <w:i/>
          <w:color w:val="2F5496"/>
          <w:sz w:val="22"/>
          <w:szCs w:val="22"/>
          <w:lang w:val="es-ES_tradnl"/>
        </w:rPr>
        <w:t>y el bienestar de los voluntarios de las organizaciones de la Cruz Roja y de la Media Luna Roja</w:t>
      </w:r>
    </w:p>
    <w:p w14:paraId="43D5E1C3" w14:textId="77777777" w:rsidR="0087788E" w:rsidRPr="000C5CDA" w:rsidRDefault="0087788E" w:rsidP="009C675B">
      <w:pPr>
        <w:pStyle w:val="Indent1"/>
        <w:rPr>
          <w:rFonts w:ascii="Arial" w:hAnsi="Arial" w:cs="Arial"/>
          <w:sz w:val="22"/>
          <w:szCs w:val="22"/>
          <w:lang w:val="es-ES_tradnl"/>
        </w:rPr>
      </w:pPr>
    </w:p>
    <w:p w14:paraId="7F42BDC4" w14:textId="2EBFA045" w:rsidR="009C675B" w:rsidRPr="000C5CDA" w:rsidRDefault="00C40E90" w:rsidP="009C675B">
      <w:pPr>
        <w:pStyle w:val="Heading1"/>
        <w:rPr>
          <w:rFonts w:cs="Arial"/>
          <w:szCs w:val="22"/>
          <w:lang w:val="es-ES_tradnl"/>
        </w:rPr>
      </w:pPr>
      <w:r w:rsidRPr="000C5CDA">
        <w:rPr>
          <w:szCs w:val="22"/>
          <w:lang w:val="es-ES_tradnl"/>
        </w:rPr>
        <w:t>T</w:t>
      </w:r>
      <w:r w:rsidR="003B2B8F" w:rsidRPr="000C5CDA">
        <w:rPr>
          <w:szCs w:val="22"/>
          <w:lang w:val="es-ES_tradnl"/>
        </w:rPr>
        <w:t>ipo de promesa</w:t>
      </w:r>
      <w:r w:rsidR="009C675B" w:rsidRPr="000C5CDA">
        <w:rPr>
          <w:szCs w:val="22"/>
          <w:lang w:val="es-ES_tradnl"/>
        </w:rPr>
        <w:t>:</w:t>
      </w:r>
      <w:r w:rsidR="009C675B" w:rsidRPr="000C5CDA">
        <w:rPr>
          <w:rFonts w:cs="Arial"/>
          <w:b w:val="0"/>
          <w:szCs w:val="22"/>
          <w:lang w:val="es-ES_tradnl"/>
        </w:rPr>
        <w:tab/>
      </w:r>
      <w:r w:rsidR="003B2B8F" w:rsidRPr="000C5CDA">
        <w:rPr>
          <w:rFonts w:cs="Arial"/>
          <w:b w:val="0"/>
          <w:szCs w:val="22"/>
          <w:lang w:val="es-ES_tradnl"/>
        </w:rPr>
        <w:t>ABIERTA</w:t>
      </w:r>
      <w:r w:rsidR="009C675B" w:rsidRPr="000C5CDA">
        <w:rPr>
          <w:rFonts w:cs="Arial"/>
          <w:szCs w:val="22"/>
          <w:lang w:val="es-ES_tradnl"/>
        </w:rPr>
        <w:t xml:space="preserve">   </w:t>
      </w:r>
    </w:p>
    <w:p w14:paraId="62482AAC" w14:textId="059A0000" w:rsidR="0056111A" w:rsidRPr="000C5CDA" w:rsidRDefault="0056111A" w:rsidP="0056111A">
      <w:pPr>
        <w:rPr>
          <w:lang w:val="es-ES_tradnl"/>
        </w:rPr>
      </w:pPr>
    </w:p>
    <w:p w14:paraId="7FFEA89C" w14:textId="12911DFB" w:rsidR="0056111A" w:rsidRPr="000C5CDA" w:rsidRDefault="00EE363D" w:rsidP="00736829">
      <w:pPr>
        <w:rPr>
          <w:rFonts w:cs="Arial"/>
          <w:i/>
          <w:color w:val="2F5496"/>
          <w:szCs w:val="22"/>
          <w:lang w:val="es-ES_tradnl"/>
        </w:rPr>
      </w:pPr>
      <w:r w:rsidRPr="000C5CDA">
        <w:rPr>
          <w:rFonts w:ascii="Arial" w:hAnsi="Arial"/>
          <w:b/>
          <w:bCs/>
          <w:sz w:val="22"/>
          <w:szCs w:val="22"/>
          <w:lang w:val="es-ES_tradnl"/>
        </w:rPr>
        <w:t>Signatarios a los que se dirige la promesa</w:t>
      </w:r>
      <w:r w:rsidR="0056111A" w:rsidRPr="000C5CDA">
        <w:rPr>
          <w:rFonts w:ascii="Arial" w:hAnsi="Arial"/>
          <w:b/>
          <w:bCs/>
          <w:sz w:val="22"/>
          <w:szCs w:val="22"/>
          <w:lang w:val="es-ES_tradnl"/>
        </w:rPr>
        <w:t>:</w:t>
      </w:r>
      <w:r w:rsidR="0056111A" w:rsidRPr="000C5CDA">
        <w:rPr>
          <w:lang w:val="es-ES_tradnl"/>
        </w:rPr>
        <w:t xml:space="preserve">  </w:t>
      </w:r>
      <w:r w:rsidR="003B2B8F" w:rsidRPr="000C5CDA">
        <w:rPr>
          <w:rFonts w:ascii="Arial" w:hAnsi="Arial" w:cs="Arial"/>
          <w:iCs/>
          <w:color w:val="2F5496"/>
          <w:sz w:val="22"/>
          <w:szCs w:val="22"/>
          <w:lang w:val="es-ES_tradnl"/>
        </w:rPr>
        <w:t>solo componentes del Movimiento</w:t>
      </w:r>
    </w:p>
    <w:p w14:paraId="6A4AF678" w14:textId="45D200CC" w:rsidR="002515BF" w:rsidRPr="000C5CDA" w:rsidRDefault="002515BF" w:rsidP="003A1933">
      <w:pPr>
        <w:pStyle w:val="Indent1"/>
        <w:ind w:left="0" w:firstLine="0"/>
        <w:rPr>
          <w:rFonts w:ascii="Arial" w:hAnsi="Arial" w:cs="Arial"/>
          <w:sz w:val="22"/>
          <w:szCs w:val="22"/>
          <w:lang w:val="es-ES_tradnl"/>
        </w:rPr>
      </w:pPr>
    </w:p>
    <w:p w14:paraId="58DE5B5F" w14:textId="62D3BEDA" w:rsidR="009C675B" w:rsidRPr="000C5CDA" w:rsidRDefault="00EE363D" w:rsidP="00EE363D">
      <w:pPr>
        <w:pStyle w:val="Indent1"/>
        <w:rPr>
          <w:rFonts w:ascii="Arial" w:hAnsi="Arial" w:cs="Arial"/>
          <w:b/>
          <w:sz w:val="22"/>
          <w:szCs w:val="22"/>
          <w:lang w:val="es-ES_tradnl"/>
        </w:rPr>
      </w:pPr>
      <w:r w:rsidRPr="000C5CDA">
        <w:rPr>
          <w:rFonts w:ascii="Arial" w:hAnsi="Arial" w:cs="Arial"/>
          <w:b/>
          <w:sz w:val="22"/>
          <w:szCs w:val="22"/>
          <w:lang w:val="es-ES_tradnl"/>
        </w:rPr>
        <w:t>Tema(s) de la Conferencia Internacional relacionados con esta promesa:</w:t>
      </w:r>
      <w:r w:rsidR="009C675B" w:rsidRPr="000C5CDA">
        <w:rPr>
          <w:rFonts w:ascii="Arial" w:hAnsi="Arial" w:cs="Arial"/>
          <w:b/>
          <w:sz w:val="22"/>
          <w:szCs w:val="22"/>
          <w:lang w:val="es-ES_tradnl"/>
        </w:rPr>
        <w:t xml:space="preserve">  </w:t>
      </w:r>
    </w:p>
    <w:p w14:paraId="65642187" w14:textId="411CD93E" w:rsidR="004072D5" w:rsidRPr="000C5CDA" w:rsidRDefault="00EE363D" w:rsidP="00EE363D">
      <w:pPr>
        <w:pStyle w:val="MediumGrid1-Accent21"/>
        <w:spacing w:after="0" w:line="240" w:lineRule="auto"/>
        <w:ind w:left="0"/>
        <w:jc w:val="both"/>
        <w:rPr>
          <w:rFonts w:ascii="Arial" w:hAnsi="Arial"/>
          <w:i/>
          <w:color w:val="2F5496"/>
          <w:lang w:val="es-ES_tradnl"/>
        </w:rPr>
      </w:pPr>
      <w:bookmarkStart w:id="0" w:name="_Hlk6308833"/>
      <w:r w:rsidRPr="000C5CDA">
        <w:rPr>
          <w:rFonts w:ascii="Arial" w:hAnsi="Arial"/>
          <w:i/>
          <w:color w:val="2F5496"/>
          <w:lang w:val="es-ES_tradnl"/>
        </w:rPr>
        <w:t>Evolución de las vulnerabilidades y confianza en la acción humanitaria</w:t>
      </w:r>
    </w:p>
    <w:bookmarkEnd w:id="0"/>
    <w:p w14:paraId="4D6725F6" w14:textId="7509799F" w:rsidR="00B552E9" w:rsidRPr="000C5CDA" w:rsidRDefault="00B552E9" w:rsidP="00B552E9">
      <w:pPr>
        <w:pStyle w:val="Indent1"/>
        <w:ind w:left="0" w:firstLine="0"/>
        <w:rPr>
          <w:rFonts w:ascii="Arial" w:hAnsi="Arial"/>
          <w:highlight w:val="yellow"/>
          <w:lang w:val="es-ES_tradnl"/>
        </w:rPr>
      </w:pPr>
    </w:p>
    <w:p w14:paraId="09283A1E" w14:textId="69970194" w:rsidR="00B94B1E" w:rsidRPr="000C5CDA" w:rsidRDefault="00EE363D" w:rsidP="00B552E9">
      <w:pPr>
        <w:pStyle w:val="Indent1"/>
        <w:ind w:left="0" w:firstLine="0"/>
        <w:rPr>
          <w:rFonts w:ascii="Arial" w:hAnsi="Arial" w:cs="Arial"/>
          <w:sz w:val="22"/>
          <w:szCs w:val="22"/>
          <w:lang w:val="es-ES_tradnl"/>
        </w:rPr>
      </w:pPr>
      <w:r w:rsidRPr="000C5CDA">
        <w:rPr>
          <w:rFonts w:ascii="Arial" w:hAnsi="Arial" w:cs="Arial"/>
          <w:b/>
          <w:sz w:val="22"/>
          <w:szCs w:val="22"/>
          <w:lang w:val="es-ES_tradnl"/>
        </w:rPr>
        <w:t xml:space="preserve">Promesa para el periodo </w:t>
      </w:r>
      <w:r w:rsidR="006A7C80" w:rsidRPr="000C5CDA">
        <w:rPr>
          <w:rFonts w:ascii="Arial" w:hAnsi="Arial" w:cs="Arial"/>
          <w:b/>
          <w:sz w:val="22"/>
          <w:szCs w:val="22"/>
          <w:lang w:val="es-ES_tradnl"/>
        </w:rPr>
        <w:t>2019</w:t>
      </w:r>
      <w:r w:rsidR="002777F0">
        <w:rPr>
          <w:rFonts w:ascii="Arial" w:hAnsi="Arial" w:cs="Arial"/>
          <w:b/>
          <w:sz w:val="22"/>
          <w:szCs w:val="22"/>
          <w:lang w:val="es-ES_tradnl"/>
        </w:rPr>
        <w:t>-</w:t>
      </w:r>
      <w:r w:rsidR="006A7C80" w:rsidRPr="000C5CDA">
        <w:rPr>
          <w:rFonts w:ascii="Arial" w:hAnsi="Arial" w:cs="Arial"/>
          <w:b/>
          <w:sz w:val="22"/>
          <w:szCs w:val="22"/>
          <w:lang w:val="es-ES_tradnl"/>
        </w:rPr>
        <w:t>2023</w:t>
      </w:r>
      <w:r w:rsidR="009C675B" w:rsidRPr="000C5CDA">
        <w:rPr>
          <w:rFonts w:ascii="Arial" w:hAnsi="Arial" w:cs="Arial"/>
          <w:b/>
          <w:sz w:val="22"/>
          <w:szCs w:val="22"/>
          <w:lang w:val="es-ES_tradnl"/>
        </w:rPr>
        <w:t>:</w:t>
      </w:r>
      <w:r w:rsidR="00B94B1E" w:rsidRPr="000C5CDA">
        <w:rPr>
          <w:rFonts w:ascii="Arial" w:hAnsi="Arial" w:cs="Arial"/>
          <w:sz w:val="22"/>
          <w:szCs w:val="22"/>
          <w:lang w:val="es-ES_tradnl"/>
        </w:rPr>
        <w:t xml:space="preserve"> </w:t>
      </w:r>
    </w:p>
    <w:p w14:paraId="358E90B6" w14:textId="17BAC585" w:rsidR="004A28E3" w:rsidRPr="000C5CDA" w:rsidRDefault="004A28E3" w:rsidP="004A28E3">
      <w:pPr>
        <w:overflowPunct/>
        <w:autoSpaceDE/>
        <w:autoSpaceDN/>
        <w:adjustRightInd/>
        <w:contextualSpacing/>
        <w:jc w:val="both"/>
        <w:textAlignment w:val="auto"/>
        <w:rPr>
          <w:rFonts w:ascii="Arial" w:eastAsia="Calibri" w:hAnsi="Arial" w:cs="Arial"/>
          <w:color w:val="2F5496"/>
          <w:sz w:val="22"/>
          <w:szCs w:val="22"/>
          <w:lang w:val="es-ES_tradnl"/>
        </w:rPr>
      </w:pPr>
      <w:bookmarkStart w:id="1" w:name="_Hlk6308922"/>
    </w:p>
    <w:p w14:paraId="18930768" w14:textId="2B62E2E5" w:rsidR="00665B93" w:rsidRPr="000C5CDA" w:rsidRDefault="0048627B" w:rsidP="00665B93">
      <w:pPr>
        <w:overflowPunct/>
        <w:autoSpaceDE/>
        <w:autoSpaceDN/>
        <w:adjustRightInd/>
        <w:contextualSpacing/>
        <w:jc w:val="both"/>
        <w:textAlignment w:val="auto"/>
        <w:rPr>
          <w:rFonts w:ascii="Arial" w:eastAsia="Calibri" w:hAnsi="Arial" w:cs="Arial"/>
          <w:color w:val="2F5496"/>
          <w:sz w:val="22"/>
          <w:szCs w:val="22"/>
          <w:lang w:val="es-ES_tradnl"/>
        </w:rPr>
      </w:pPr>
      <w:r w:rsidRPr="000C5CDA">
        <w:rPr>
          <w:rFonts w:ascii="Arial" w:eastAsia="Calibri" w:hAnsi="Arial" w:cs="Arial"/>
          <w:color w:val="2F5496"/>
          <w:sz w:val="22"/>
          <w:szCs w:val="22"/>
          <w:lang w:val="es-ES_tradnl"/>
        </w:rPr>
        <w:t xml:space="preserve">Los voluntarios son el recurso primordial del Movimiento Internacional de la Cruz Roja y de la Media Luna Roja, y su protección, seguridad y bienestar son indispensables para el cumplimiento de su misión. Sin embargo, </w:t>
      </w:r>
      <w:r w:rsidR="00DC4590" w:rsidRPr="000C5CDA">
        <w:rPr>
          <w:rFonts w:ascii="Arial" w:eastAsia="Calibri" w:hAnsi="Arial" w:cs="Arial"/>
          <w:color w:val="2F5496"/>
          <w:sz w:val="22"/>
          <w:szCs w:val="22"/>
          <w:lang w:val="es-ES_tradnl"/>
        </w:rPr>
        <w:t>en investigaciones realizadas por la Federación Internacional, se ha evidenciado que hay carencias en el apoyo que prestamos a los voluntarios</w:t>
      </w:r>
      <w:r w:rsidR="00443BCA" w:rsidRPr="000C5CDA">
        <w:rPr>
          <w:rFonts w:ascii="Arial" w:eastAsia="Calibri" w:hAnsi="Arial" w:cs="Arial"/>
          <w:color w:val="2F5496"/>
          <w:sz w:val="22"/>
          <w:szCs w:val="22"/>
          <w:lang w:val="es-ES_tradnl"/>
        </w:rPr>
        <w:t xml:space="preserve"> humanitarios</w:t>
      </w:r>
      <w:r w:rsidR="00DC4590" w:rsidRPr="000C5CDA">
        <w:rPr>
          <w:rFonts w:ascii="Arial" w:eastAsia="Calibri" w:hAnsi="Arial" w:cs="Arial"/>
          <w:color w:val="2F5496"/>
          <w:sz w:val="22"/>
          <w:szCs w:val="22"/>
          <w:lang w:val="es-ES_tradnl"/>
        </w:rPr>
        <w:t xml:space="preserve"> frente a los riesgos </w:t>
      </w:r>
      <w:r w:rsidR="00443BCA" w:rsidRPr="000C5CDA">
        <w:rPr>
          <w:rFonts w:ascii="Arial" w:eastAsia="Calibri" w:hAnsi="Arial" w:cs="Arial"/>
          <w:color w:val="2F5496"/>
          <w:sz w:val="22"/>
          <w:szCs w:val="22"/>
          <w:lang w:val="es-ES_tradnl"/>
        </w:rPr>
        <w:t xml:space="preserve">que implica </w:t>
      </w:r>
      <w:r w:rsidR="00DC4590" w:rsidRPr="000C5CDA">
        <w:rPr>
          <w:rFonts w:ascii="Arial" w:eastAsia="Calibri" w:hAnsi="Arial" w:cs="Arial"/>
          <w:color w:val="2F5496"/>
          <w:sz w:val="22"/>
          <w:szCs w:val="22"/>
          <w:lang w:val="es-ES_tradnl"/>
        </w:rPr>
        <w:t>actuar en situaciones cada vez más frágiles, en emergencias complejas y en conflictos prolongados.</w:t>
      </w:r>
      <w:r w:rsidR="00443BCA" w:rsidRPr="000C5CDA">
        <w:rPr>
          <w:rFonts w:ascii="Arial" w:eastAsia="Calibri" w:hAnsi="Arial" w:cs="Arial"/>
          <w:color w:val="2F5496"/>
          <w:sz w:val="22"/>
          <w:szCs w:val="22"/>
          <w:lang w:val="es-ES_tradnl"/>
        </w:rPr>
        <w:t xml:space="preserve"> Algunos de esos riesgos son los siguientes: estigmatización y peligros diversos, falta de acceso a </w:t>
      </w:r>
      <w:r w:rsidR="000D7C77">
        <w:rPr>
          <w:rFonts w:ascii="Arial" w:eastAsia="Calibri" w:hAnsi="Arial" w:cs="Arial"/>
          <w:color w:val="2F5496"/>
          <w:sz w:val="22"/>
          <w:szCs w:val="22"/>
          <w:lang w:val="es-ES_tradnl"/>
        </w:rPr>
        <w:t xml:space="preserve">equipamiento </w:t>
      </w:r>
      <w:r w:rsidR="00443BCA" w:rsidRPr="000C5CDA">
        <w:rPr>
          <w:rFonts w:ascii="Arial" w:eastAsia="Calibri" w:hAnsi="Arial" w:cs="Arial"/>
          <w:color w:val="2F5496"/>
          <w:sz w:val="22"/>
          <w:szCs w:val="22"/>
          <w:lang w:val="es-ES_tradnl"/>
        </w:rPr>
        <w:t xml:space="preserve">básico y capacitación, padecimientos psicológicos y un índice general bajo de cobertura a través de pólizas de seguros y de otras “redes de protección”. En 2015, la resolución 5 aprobada por la XXXII Conferencia Internacional señaló estos problemas y estableció compromisos para los componentes del Movimiento y los Estados </w:t>
      </w:r>
      <w:r w:rsidR="006F3882" w:rsidRPr="000C5CDA">
        <w:rPr>
          <w:rFonts w:ascii="Arial" w:eastAsia="Calibri" w:hAnsi="Arial" w:cs="Arial"/>
          <w:color w:val="2F5496"/>
          <w:sz w:val="22"/>
          <w:szCs w:val="22"/>
          <w:lang w:val="es-ES_tradnl"/>
        </w:rPr>
        <w:t>a fin de que adopten medidas para solucionarlos.</w:t>
      </w:r>
    </w:p>
    <w:p w14:paraId="1EEAF608" w14:textId="136E5F16" w:rsidR="002240F6" w:rsidRPr="000C5CDA" w:rsidRDefault="002240F6" w:rsidP="00665B93">
      <w:pPr>
        <w:overflowPunct/>
        <w:autoSpaceDE/>
        <w:autoSpaceDN/>
        <w:adjustRightInd/>
        <w:contextualSpacing/>
        <w:jc w:val="both"/>
        <w:textAlignment w:val="auto"/>
        <w:rPr>
          <w:rFonts w:ascii="Arial" w:eastAsia="Calibri" w:hAnsi="Arial" w:cs="Arial"/>
          <w:color w:val="2F5496"/>
          <w:sz w:val="22"/>
          <w:szCs w:val="22"/>
          <w:lang w:val="es-ES_tradnl"/>
        </w:rPr>
      </w:pPr>
    </w:p>
    <w:p w14:paraId="71C4EC71" w14:textId="31DC9529" w:rsidR="002240F6" w:rsidRPr="000C5CDA" w:rsidRDefault="002C3973" w:rsidP="002240F6">
      <w:pPr>
        <w:overflowPunct/>
        <w:autoSpaceDE/>
        <w:autoSpaceDN/>
        <w:adjustRightInd/>
        <w:contextualSpacing/>
        <w:jc w:val="both"/>
        <w:textAlignment w:val="auto"/>
        <w:rPr>
          <w:rFonts w:ascii="Arial" w:eastAsia="Calibri" w:hAnsi="Arial" w:cs="Arial"/>
          <w:color w:val="2F5496"/>
          <w:sz w:val="22"/>
          <w:szCs w:val="22"/>
          <w:lang w:val="es-ES_tradnl"/>
        </w:rPr>
      </w:pPr>
      <w:r w:rsidRPr="000C5CDA">
        <w:rPr>
          <w:rFonts w:ascii="Arial" w:eastAsia="Calibri" w:hAnsi="Arial" w:cs="Arial"/>
          <w:color w:val="2F5496"/>
          <w:sz w:val="22"/>
          <w:szCs w:val="22"/>
          <w:lang w:val="es-ES_tradnl"/>
        </w:rPr>
        <w:t xml:space="preserve">Esta promesa refuerza los compromisos de la resolución 5 </w:t>
      </w:r>
      <w:r w:rsidR="00CD21F0">
        <w:rPr>
          <w:rFonts w:ascii="Arial" w:eastAsia="Calibri" w:hAnsi="Arial" w:cs="Arial"/>
          <w:color w:val="2F5496"/>
          <w:sz w:val="22"/>
          <w:szCs w:val="22"/>
          <w:lang w:val="es-ES_tradnl"/>
        </w:rPr>
        <w:t xml:space="preserve">con la finalidad de </w:t>
      </w:r>
      <w:r w:rsidR="00C75351" w:rsidRPr="000C5CDA">
        <w:rPr>
          <w:rFonts w:ascii="Arial" w:eastAsia="Calibri" w:hAnsi="Arial" w:cs="Arial"/>
          <w:color w:val="2F5496"/>
          <w:sz w:val="22"/>
          <w:szCs w:val="22"/>
          <w:lang w:val="es-ES_tradnl"/>
        </w:rPr>
        <w:t>fomentar</w:t>
      </w:r>
      <w:r w:rsidRPr="000C5CDA">
        <w:rPr>
          <w:rFonts w:ascii="Arial" w:eastAsia="Calibri" w:hAnsi="Arial" w:cs="Arial"/>
          <w:color w:val="2F5496"/>
          <w:sz w:val="22"/>
          <w:szCs w:val="22"/>
          <w:lang w:val="es-ES_tradnl"/>
        </w:rPr>
        <w:t xml:space="preserve"> la protección, la seguridad</w:t>
      </w:r>
      <w:r w:rsidR="004564CF" w:rsidRPr="000C5CDA">
        <w:rPr>
          <w:rFonts w:ascii="Arial" w:eastAsia="Calibri" w:hAnsi="Arial" w:cs="Arial"/>
          <w:color w:val="2F5496"/>
          <w:sz w:val="22"/>
          <w:szCs w:val="22"/>
          <w:lang w:val="es-ES_tradnl"/>
        </w:rPr>
        <w:t xml:space="preserve"> y el bienestar de los voluntarios, así como de </w:t>
      </w:r>
      <w:r w:rsidR="00C75351" w:rsidRPr="000C5CDA">
        <w:rPr>
          <w:rFonts w:ascii="Arial" w:eastAsia="Calibri" w:hAnsi="Arial" w:cs="Arial"/>
          <w:color w:val="2F5496"/>
          <w:sz w:val="22"/>
          <w:szCs w:val="22"/>
          <w:lang w:val="es-ES_tradnl"/>
        </w:rPr>
        <w:t xml:space="preserve">garantizar que los voluntarios (o sus familiares) sean debidamente compensados en caso de sufrir heridas o la muerte en el cumplimiento de su deber. En cuanto a este último aspecto, se necesita una nueva solución a nivel mundial para saldar las brechas </w:t>
      </w:r>
      <w:r w:rsidR="00CD21F0">
        <w:rPr>
          <w:rFonts w:ascii="Arial" w:eastAsia="Calibri" w:hAnsi="Arial" w:cs="Arial"/>
          <w:color w:val="2F5496"/>
          <w:sz w:val="22"/>
          <w:szCs w:val="22"/>
          <w:lang w:val="es-ES_tradnl"/>
        </w:rPr>
        <w:t xml:space="preserve">que inevitablemente hay en </w:t>
      </w:r>
      <w:r w:rsidR="00C75351" w:rsidRPr="000C5CDA">
        <w:rPr>
          <w:rFonts w:ascii="Arial" w:eastAsia="Calibri" w:hAnsi="Arial" w:cs="Arial"/>
          <w:color w:val="2F5496"/>
          <w:sz w:val="22"/>
          <w:szCs w:val="22"/>
          <w:lang w:val="es-ES_tradnl"/>
        </w:rPr>
        <w:t xml:space="preserve">las coberturas en los casos en que las Sociedades Nacionales carecen de los medios para hacerlo. Una solución del sector privado utilizada por la Federación Internacional a través de un contrato con un prestador mundial de seguros </w:t>
      </w:r>
      <w:r w:rsidR="00CD21F0">
        <w:rPr>
          <w:rFonts w:ascii="Arial" w:eastAsia="Calibri" w:hAnsi="Arial" w:cs="Arial"/>
          <w:color w:val="2F5496"/>
          <w:sz w:val="22"/>
          <w:szCs w:val="22"/>
          <w:lang w:val="es-ES_tradnl"/>
        </w:rPr>
        <w:t xml:space="preserve">no </w:t>
      </w:r>
      <w:r w:rsidR="00C75351" w:rsidRPr="000C5CDA">
        <w:rPr>
          <w:rFonts w:ascii="Arial" w:eastAsia="Calibri" w:hAnsi="Arial" w:cs="Arial"/>
          <w:color w:val="2F5496"/>
          <w:sz w:val="22"/>
          <w:szCs w:val="22"/>
          <w:lang w:val="es-ES_tradnl"/>
        </w:rPr>
        <w:t xml:space="preserve">ha resultado </w:t>
      </w:r>
      <w:r w:rsidR="00CD21F0">
        <w:rPr>
          <w:rFonts w:ascii="Arial" w:eastAsia="Calibri" w:hAnsi="Arial" w:cs="Arial"/>
          <w:color w:val="2F5496"/>
          <w:sz w:val="22"/>
          <w:szCs w:val="22"/>
          <w:lang w:val="es-ES_tradnl"/>
        </w:rPr>
        <w:t xml:space="preserve">del todo </w:t>
      </w:r>
      <w:r w:rsidR="00C75351" w:rsidRPr="000C5CDA">
        <w:rPr>
          <w:rFonts w:ascii="Arial" w:eastAsia="Calibri" w:hAnsi="Arial" w:cs="Arial"/>
          <w:color w:val="2F5496"/>
          <w:sz w:val="22"/>
          <w:szCs w:val="22"/>
          <w:lang w:val="es-ES_tradnl"/>
        </w:rPr>
        <w:t>satisfactoria para ofrecer una cobertura adecuada y oportuna.</w:t>
      </w:r>
      <w:r w:rsidR="002240F6" w:rsidRPr="000C5CDA">
        <w:rPr>
          <w:rFonts w:ascii="Arial" w:eastAsia="Calibri" w:hAnsi="Arial" w:cs="Arial"/>
          <w:color w:val="2F5496"/>
          <w:sz w:val="22"/>
          <w:szCs w:val="22"/>
          <w:lang w:val="es-ES_tradnl"/>
        </w:rPr>
        <w:t xml:space="preserve">  </w:t>
      </w:r>
    </w:p>
    <w:p w14:paraId="6CAF0CE9" w14:textId="128F3AA3" w:rsidR="00DE5C2E" w:rsidRPr="000C5CDA" w:rsidRDefault="00DE5C2E" w:rsidP="004A28E3">
      <w:pPr>
        <w:overflowPunct/>
        <w:autoSpaceDE/>
        <w:autoSpaceDN/>
        <w:adjustRightInd/>
        <w:contextualSpacing/>
        <w:jc w:val="both"/>
        <w:textAlignment w:val="auto"/>
        <w:rPr>
          <w:rFonts w:ascii="Arial" w:eastAsia="Calibri" w:hAnsi="Arial" w:cs="Arial"/>
          <w:color w:val="2F5496"/>
          <w:sz w:val="22"/>
          <w:szCs w:val="22"/>
          <w:lang w:val="es-ES_tradnl"/>
        </w:rPr>
      </w:pPr>
    </w:p>
    <w:p w14:paraId="1BC93996" w14:textId="11639D5B" w:rsidR="00DE5C2E" w:rsidRPr="000C5CDA" w:rsidRDefault="00EE363D" w:rsidP="004A28E3">
      <w:pPr>
        <w:overflowPunct/>
        <w:autoSpaceDE/>
        <w:autoSpaceDN/>
        <w:adjustRightInd/>
        <w:contextualSpacing/>
        <w:jc w:val="both"/>
        <w:textAlignment w:val="auto"/>
        <w:rPr>
          <w:rFonts w:ascii="Arial" w:eastAsia="Calibri" w:hAnsi="Arial" w:cs="Arial"/>
          <w:b/>
          <w:bCs/>
          <w:sz w:val="22"/>
          <w:szCs w:val="22"/>
          <w:lang w:val="es-ES_tradnl"/>
        </w:rPr>
      </w:pPr>
      <w:r w:rsidRPr="000C5CDA">
        <w:rPr>
          <w:rFonts w:ascii="Arial" w:eastAsia="Calibri" w:hAnsi="Arial" w:cs="Arial"/>
          <w:b/>
          <w:bCs/>
          <w:sz w:val="22"/>
          <w:szCs w:val="22"/>
          <w:lang w:val="es-ES_tradnl"/>
        </w:rPr>
        <w:t>Plan de acción</w:t>
      </w:r>
      <w:r w:rsidR="00DE5C2E" w:rsidRPr="000C5CDA">
        <w:rPr>
          <w:rFonts w:ascii="Arial" w:eastAsia="Calibri" w:hAnsi="Arial" w:cs="Arial"/>
          <w:b/>
          <w:bCs/>
          <w:sz w:val="22"/>
          <w:szCs w:val="22"/>
          <w:lang w:val="es-ES_tradnl"/>
        </w:rPr>
        <w:t>:</w:t>
      </w:r>
    </w:p>
    <w:p w14:paraId="38284E46" w14:textId="77777777" w:rsidR="00F07551" w:rsidRPr="000C5CDA" w:rsidRDefault="00F07551" w:rsidP="0078454C">
      <w:pPr>
        <w:pStyle w:val="CommentText"/>
        <w:jc w:val="both"/>
        <w:rPr>
          <w:rFonts w:ascii="Arial" w:hAnsi="Arial" w:cs="Arial"/>
          <w:color w:val="2F5496"/>
          <w:sz w:val="22"/>
          <w:szCs w:val="22"/>
          <w:lang w:val="es-ES_tradnl"/>
        </w:rPr>
      </w:pPr>
    </w:p>
    <w:p w14:paraId="7D4F92AA" w14:textId="5A74749A" w:rsidR="00217F40" w:rsidRPr="000C5CDA" w:rsidRDefault="004A5908" w:rsidP="00217F40">
      <w:pPr>
        <w:pBdr>
          <w:top w:val="nil"/>
          <w:left w:val="nil"/>
          <w:bottom w:val="nil"/>
          <w:right w:val="nil"/>
          <w:between w:val="nil"/>
        </w:pBdr>
        <w:spacing w:line="276" w:lineRule="auto"/>
        <w:contextualSpacing/>
        <w:jc w:val="both"/>
        <w:rPr>
          <w:rFonts w:ascii="Arial" w:hAnsi="Arial" w:cs="Arial"/>
          <w:color w:val="2F5496"/>
          <w:sz w:val="22"/>
          <w:szCs w:val="22"/>
          <w:lang w:val="es-ES_tradnl"/>
        </w:rPr>
      </w:pPr>
      <w:bookmarkStart w:id="2" w:name="_Hlk5373004"/>
      <w:bookmarkEnd w:id="1"/>
      <w:r w:rsidRPr="000C5CDA">
        <w:rPr>
          <w:rFonts w:ascii="Arial" w:hAnsi="Arial" w:cs="Arial"/>
          <w:color w:val="2F5496"/>
          <w:sz w:val="22"/>
          <w:szCs w:val="22"/>
          <w:lang w:val="es-ES_tradnl"/>
        </w:rPr>
        <w:t>Nos comprometemos a</w:t>
      </w:r>
      <w:r w:rsidR="00217F40" w:rsidRPr="000C5CDA">
        <w:rPr>
          <w:rFonts w:ascii="Arial" w:hAnsi="Arial" w:cs="Arial"/>
          <w:color w:val="2F5496"/>
          <w:sz w:val="22"/>
          <w:szCs w:val="22"/>
          <w:lang w:val="es-ES_tradnl"/>
        </w:rPr>
        <w:t>:</w:t>
      </w:r>
    </w:p>
    <w:p w14:paraId="2F9DB138" w14:textId="77777777" w:rsidR="008C184A" w:rsidRPr="000C5CDA" w:rsidRDefault="008C184A" w:rsidP="00217F40">
      <w:pPr>
        <w:pStyle w:val="ListParagraph"/>
        <w:numPr>
          <w:ilvl w:val="0"/>
          <w:numId w:val="38"/>
        </w:numPr>
        <w:spacing w:after="160" w:line="259" w:lineRule="auto"/>
        <w:jc w:val="both"/>
        <w:rPr>
          <w:rFonts w:ascii="Arial" w:hAnsi="Arial" w:cs="Arial"/>
          <w:color w:val="2F5496"/>
          <w:sz w:val="22"/>
          <w:szCs w:val="22"/>
          <w:lang w:val="es-ES_tradnl"/>
        </w:rPr>
      </w:pPr>
      <w:r w:rsidRPr="000C5CDA">
        <w:rPr>
          <w:rFonts w:ascii="Arial" w:hAnsi="Arial" w:cs="Arial"/>
          <w:color w:val="2F5496"/>
          <w:sz w:val="22"/>
          <w:szCs w:val="22"/>
          <w:lang w:val="es-ES_tradnl"/>
        </w:rPr>
        <w:t>asignar recursos adecuados y predecibles para la protección, la seguridad y el bienestar de los voluntarios;</w:t>
      </w:r>
    </w:p>
    <w:p w14:paraId="7D767F07" w14:textId="75423F1F" w:rsidR="004612B4" w:rsidRPr="000C5CDA" w:rsidRDefault="008C184A" w:rsidP="008C184A">
      <w:pPr>
        <w:pStyle w:val="ListParagraph"/>
        <w:numPr>
          <w:ilvl w:val="0"/>
          <w:numId w:val="38"/>
        </w:numPr>
        <w:spacing w:after="160" w:line="259" w:lineRule="auto"/>
        <w:jc w:val="both"/>
        <w:rPr>
          <w:rFonts w:ascii="Arial" w:hAnsi="Arial" w:cs="Arial"/>
          <w:color w:val="2F5496"/>
          <w:sz w:val="22"/>
          <w:szCs w:val="22"/>
          <w:lang w:val="es-ES_tradnl"/>
        </w:rPr>
      </w:pPr>
      <w:r w:rsidRPr="000C5CDA">
        <w:rPr>
          <w:rFonts w:ascii="Arial" w:hAnsi="Arial" w:cs="Arial"/>
          <w:color w:val="2F5496"/>
          <w:sz w:val="22"/>
          <w:szCs w:val="22"/>
          <w:lang w:val="es-ES_tradnl"/>
        </w:rPr>
        <w:t>colaborar en el estudio del desarrollo de un fondo de solidaridad mundial para los voluntarios de las organizaciones de la Cruz Roja y de la Media Luna Roja que sufran heridas o la muerte en el cumplimiento del deber en contextos donde la cobertura de seguro sea inadecuada;</w:t>
      </w:r>
    </w:p>
    <w:p w14:paraId="01282DEA" w14:textId="11772AAB" w:rsidR="00217F40" w:rsidRPr="000C5CDA" w:rsidRDefault="008C184A" w:rsidP="008C184A">
      <w:pPr>
        <w:pStyle w:val="ListParagraph"/>
        <w:numPr>
          <w:ilvl w:val="0"/>
          <w:numId w:val="38"/>
        </w:numPr>
        <w:autoSpaceDE w:val="0"/>
        <w:autoSpaceDN w:val="0"/>
        <w:adjustRightInd w:val="0"/>
        <w:jc w:val="both"/>
        <w:rPr>
          <w:rFonts w:ascii="Arial" w:hAnsi="Arial" w:cs="Arial"/>
          <w:color w:val="2F5496"/>
          <w:sz w:val="22"/>
          <w:szCs w:val="22"/>
          <w:lang w:val="es-ES_tradnl"/>
        </w:rPr>
      </w:pPr>
      <w:r w:rsidRPr="000C5CDA">
        <w:rPr>
          <w:rFonts w:ascii="Arial" w:hAnsi="Arial" w:cs="Arial"/>
          <w:color w:val="2F5496"/>
          <w:sz w:val="22"/>
          <w:szCs w:val="22"/>
          <w:lang w:val="es-ES_tradnl"/>
        </w:rPr>
        <w:lastRenderedPageBreak/>
        <w:t>fortalecer las iniciativas actuales tendientes a proporcionar a los voluntarios información pertinente sobre protección y seguridad en forma oportuna, capacitación, equipamiento de protección y apoyo psicosocial.</w:t>
      </w:r>
    </w:p>
    <w:bookmarkEnd w:id="2"/>
    <w:p w14:paraId="5B62B4C6" w14:textId="77777777" w:rsidR="004612B4" w:rsidRPr="000C5CDA" w:rsidRDefault="004612B4" w:rsidP="00766A1F">
      <w:pPr>
        <w:pStyle w:val="Indent1"/>
        <w:tabs>
          <w:tab w:val="clear" w:pos="396"/>
        </w:tabs>
        <w:ind w:left="0" w:firstLine="0"/>
        <w:rPr>
          <w:rFonts w:ascii="Arial" w:hAnsi="Arial" w:cs="Arial"/>
          <w:i/>
          <w:color w:val="2F5496"/>
          <w:sz w:val="22"/>
          <w:szCs w:val="22"/>
          <w:lang w:val="es-ES_tradnl"/>
        </w:rPr>
      </w:pPr>
    </w:p>
    <w:p w14:paraId="4EA06AB5" w14:textId="542D2B0B" w:rsidR="00A64C79" w:rsidRPr="000C5CDA" w:rsidRDefault="00EE363D" w:rsidP="003F165C">
      <w:pPr>
        <w:overflowPunct/>
        <w:autoSpaceDE/>
        <w:autoSpaceDN/>
        <w:adjustRightInd/>
        <w:contextualSpacing/>
        <w:jc w:val="both"/>
        <w:textAlignment w:val="auto"/>
        <w:rPr>
          <w:rFonts w:ascii="Arial" w:eastAsia="Calibri" w:hAnsi="Arial" w:cs="Arial"/>
          <w:b/>
          <w:bCs/>
          <w:sz w:val="22"/>
          <w:szCs w:val="22"/>
          <w:lang w:val="es-ES_tradnl"/>
        </w:rPr>
      </w:pPr>
      <w:r w:rsidRPr="000C5CDA">
        <w:rPr>
          <w:rFonts w:ascii="Arial" w:eastAsia="Calibri" w:hAnsi="Arial" w:cs="Arial"/>
          <w:b/>
          <w:bCs/>
          <w:sz w:val="22"/>
          <w:szCs w:val="22"/>
          <w:lang w:val="es-ES_tradnl"/>
        </w:rPr>
        <w:t>Consecuencias con respecto a los recursos</w:t>
      </w:r>
      <w:r w:rsidR="003F165C" w:rsidRPr="000C5CDA">
        <w:rPr>
          <w:rFonts w:ascii="Arial" w:eastAsia="Calibri" w:hAnsi="Arial" w:cs="Arial"/>
          <w:b/>
          <w:bCs/>
          <w:sz w:val="22"/>
          <w:szCs w:val="22"/>
          <w:lang w:val="es-ES_tradnl"/>
        </w:rPr>
        <w:t>:</w:t>
      </w:r>
    </w:p>
    <w:p w14:paraId="05CEF6D1" w14:textId="77777777" w:rsidR="003F165C" w:rsidRPr="000C5CDA" w:rsidRDefault="003F165C" w:rsidP="00C90408">
      <w:pPr>
        <w:overflowPunct/>
        <w:autoSpaceDE/>
        <w:autoSpaceDN/>
        <w:adjustRightInd/>
        <w:contextualSpacing/>
        <w:jc w:val="both"/>
        <w:textAlignment w:val="auto"/>
        <w:rPr>
          <w:rFonts w:ascii="Arial" w:eastAsia="Calibri" w:hAnsi="Arial" w:cs="Arial"/>
          <w:color w:val="2F5496"/>
          <w:sz w:val="22"/>
          <w:szCs w:val="22"/>
          <w:lang w:val="es-ES_tradnl"/>
        </w:rPr>
      </w:pPr>
    </w:p>
    <w:p w14:paraId="25D98E40" w14:textId="3FAC765C" w:rsidR="00A85B12" w:rsidRPr="000C5CDA" w:rsidRDefault="00A85B12" w:rsidP="00C90408">
      <w:pPr>
        <w:overflowPunct/>
        <w:autoSpaceDE/>
        <w:autoSpaceDN/>
        <w:adjustRightInd/>
        <w:contextualSpacing/>
        <w:jc w:val="both"/>
        <w:textAlignment w:val="auto"/>
        <w:rPr>
          <w:rFonts w:ascii="Arial" w:eastAsia="Calibri" w:hAnsi="Arial" w:cs="Arial"/>
          <w:color w:val="2F5496"/>
          <w:sz w:val="22"/>
          <w:szCs w:val="22"/>
          <w:lang w:val="es-ES_tradnl"/>
        </w:rPr>
      </w:pPr>
      <w:r w:rsidRPr="000C5CDA">
        <w:rPr>
          <w:rFonts w:ascii="Arial" w:eastAsia="Calibri" w:hAnsi="Arial" w:cs="Arial"/>
          <w:color w:val="2F5496"/>
          <w:sz w:val="22"/>
          <w:szCs w:val="22"/>
          <w:lang w:val="es-ES_tradnl"/>
        </w:rPr>
        <w:t xml:space="preserve">Se prevé que se necesitarán, como mínimo, 200.000 francos suizos para </w:t>
      </w:r>
      <w:r w:rsidR="00E91FFC" w:rsidRPr="000C5CDA">
        <w:rPr>
          <w:rFonts w:ascii="Arial" w:eastAsia="Calibri" w:hAnsi="Arial" w:cs="Arial"/>
          <w:color w:val="2F5496"/>
          <w:sz w:val="22"/>
          <w:szCs w:val="22"/>
          <w:lang w:val="es-ES_tradnl"/>
        </w:rPr>
        <w:t>los gastos de desarrollo del nuevo fondo de solidaridad. Esa cifra abarca el costo de establecimiento del fondo de solidaridad (incluido el personal) y el capital inicial para el primer año de reembolso de las demandas.</w:t>
      </w:r>
    </w:p>
    <w:p w14:paraId="7B2A6E1A" w14:textId="286C353C" w:rsidR="00A5183B" w:rsidRDefault="00A5183B">
      <w:pPr>
        <w:overflowPunct/>
        <w:autoSpaceDE/>
        <w:autoSpaceDN/>
        <w:adjustRightInd/>
        <w:textAlignment w:val="auto"/>
        <w:rPr>
          <w:rFonts w:ascii="Arial" w:eastAsia="Calibri" w:hAnsi="Arial" w:cs="Arial"/>
          <w:color w:val="2F5496"/>
          <w:sz w:val="22"/>
          <w:szCs w:val="22"/>
          <w:lang w:val="es-ES_tradnl"/>
        </w:rPr>
      </w:pPr>
      <w:r>
        <w:rPr>
          <w:rFonts w:ascii="Arial" w:eastAsia="Calibri" w:hAnsi="Arial" w:cs="Arial"/>
          <w:color w:val="2F5496"/>
          <w:sz w:val="22"/>
          <w:szCs w:val="22"/>
          <w:lang w:val="es-ES_tradnl"/>
        </w:rPr>
        <w:br w:type="page"/>
      </w:r>
    </w:p>
    <w:p w14:paraId="4557FDDA" w14:textId="77777777" w:rsidR="00A5183B" w:rsidRPr="002076F5" w:rsidRDefault="00A5183B" w:rsidP="00A5183B">
      <w:pPr>
        <w:pStyle w:val="BodySingle"/>
        <w:jc w:val="center"/>
        <w:rPr>
          <w:rFonts w:cs="Arial"/>
          <w:sz w:val="22"/>
          <w:szCs w:val="22"/>
          <w:lang w:val="fr-CH"/>
        </w:rPr>
      </w:pPr>
      <w:r w:rsidRPr="001D14D4">
        <w:rPr>
          <w:noProof/>
          <w:lang w:val="fr-FR" w:eastAsia="fr-CH"/>
        </w:rPr>
        <w:lastRenderedPageBreak/>
        <w:drawing>
          <wp:inline distT="0" distB="0" distL="0" distR="0" wp14:anchorId="127EF63F" wp14:editId="2BB97EC4">
            <wp:extent cx="3605530" cy="897255"/>
            <wp:effectExtent l="0" t="0" r="0" b="0"/>
            <wp:docPr id="1" name="Picture 1" descr="Logo-33InternationalConference_2019-FR-01_10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33InternationalConference_2019-FR-01_10c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5530" cy="897255"/>
                    </a:xfrm>
                    <a:prstGeom prst="rect">
                      <a:avLst/>
                    </a:prstGeom>
                    <a:noFill/>
                    <a:ln>
                      <a:noFill/>
                    </a:ln>
                  </pic:spPr>
                </pic:pic>
              </a:graphicData>
            </a:graphic>
          </wp:inline>
        </w:drawing>
      </w:r>
    </w:p>
    <w:p w14:paraId="5BB26677" w14:textId="77777777" w:rsidR="00A5183B" w:rsidRPr="002076F5" w:rsidRDefault="00A5183B" w:rsidP="00A5183B">
      <w:pPr>
        <w:pStyle w:val="BodySingle"/>
        <w:jc w:val="center"/>
        <w:rPr>
          <w:rFonts w:cs="Arial"/>
          <w:sz w:val="22"/>
          <w:szCs w:val="22"/>
          <w:lang w:val="fr-CH"/>
        </w:rPr>
      </w:pPr>
    </w:p>
    <w:p w14:paraId="6611CE00" w14:textId="77777777" w:rsidR="00A5183B" w:rsidRPr="002076F5" w:rsidRDefault="00A5183B" w:rsidP="00A5183B">
      <w:pPr>
        <w:pStyle w:val="BodySingle"/>
        <w:jc w:val="center"/>
        <w:rPr>
          <w:rFonts w:cs="Arial"/>
          <w:sz w:val="22"/>
          <w:szCs w:val="22"/>
          <w:lang w:val="fr-CH"/>
        </w:rPr>
      </w:pPr>
    </w:p>
    <w:p w14:paraId="5418CFFB" w14:textId="77777777" w:rsidR="00A5183B" w:rsidRPr="002076F5" w:rsidRDefault="00A5183B" w:rsidP="00A5183B">
      <w:pPr>
        <w:pStyle w:val="BodySingle"/>
        <w:jc w:val="center"/>
        <w:rPr>
          <w:rFonts w:cs="Arial"/>
          <w:sz w:val="22"/>
          <w:szCs w:val="22"/>
          <w:lang w:val="fr-CH"/>
        </w:rPr>
      </w:pPr>
    </w:p>
    <w:p w14:paraId="56EFC54C" w14:textId="77777777" w:rsidR="00A5183B" w:rsidRPr="002076F5" w:rsidRDefault="00A5183B" w:rsidP="00A5183B">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Cs/>
          <w:sz w:val="22"/>
          <w:szCs w:val="22"/>
          <w:lang w:val="fr-CH"/>
        </w:rPr>
      </w:pPr>
      <w:r w:rsidRPr="002076F5">
        <w:rPr>
          <w:rFonts w:ascii="Arial" w:hAnsi="Arial" w:cs="Arial"/>
          <w:b/>
          <w:sz w:val="22"/>
          <w:szCs w:val="22"/>
          <w:lang w:val="fr-CH"/>
        </w:rPr>
        <w:t>Engagement ouvert</w:t>
      </w:r>
    </w:p>
    <w:p w14:paraId="4770CAC7" w14:textId="77777777" w:rsidR="00A5183B" w:rsidRPr="002076F5" w:rsidRDefault="00A5183B" w:rsidP="00A5183B">
      <w:pPr>
        <w:pStyle w:val="Indent1"/>
        <w:rPr>
          <w:rFonts w:ascii="Arial" w:hAnsi="Arial" w:cs="Arial"/>
          <w:sz w:val="22"/>
          <w:szCs w:val="22"/>
          <w:lang w:val="fr-CH"/>
        </w:rPr>
      </w:pPr>
    </w:p>
    <w:p w14:paraId="4D2009C9" w14:textId="77777777" w:rsidR="00A5183B" w:rsidRPr="002076F5" w:rsidRDefault="00A5183B" w:rsidP="00A5183B">
      <w:pPr>
        <w:pStyle w:val="Heading1"/>
        <w:rPr>
          <w:szCs w:val="22"/>
        </w:rPr>
      </w:pPr>
      <w:r w:rsidRPr="002076F5">
        <w:rPr>
          <w:szCs w:val="22"/>
        </w:rPr>
        <w:t>Intitulé de l’engagement :</w:t>
      </w:r>
    </w:p>
    <w:p w14:paraId="61244786" w14:textId="77777777" w:rsidR="00A5183B" w:rsidRPr="002076F5" w:rsidRDefault="00A5183B" w:rsidP="00A5183B">
      <w:pPr>
        <w:pStyle w:val="Indent1"/>
        <w:rPr>
          <w:rFonts w:ascii="Arial" w:hAnsi="Arial" w:cs="Arial"/>
          <w:i/>
          <w:color w:val="2F5496"/>
          <w:sz w:val="22"/>
          <w:szCs w:val="22"/>
          <w:lang w:val="fr-CH"/>
        </w:rPr>
      </w:pPr>
      <w:r w:rsidRPr="002076F5">
        <w:rPr>
          <w:rFonts w:ascii="Arial" w:hAnsi="Arial" w:cs="Arial"/>
          <w:i/>
          <w:color w:val="2F5496"/>
          <w:sz w:val="22"/>
          <w:szCs w:val="22"/>
          <w:lang w:val="fr-CH"/>
        </w:rPr>
        <w:t>Garantir la sûreté et le bien-être des volontaires de la Croix-Rouge et du Croissant-Rouge</w:t>
      </w:r>
    </w:p>
    <w:p w14:paraId="47D8C1E9" w14:textId="77777777" w:rsidR="00A5183B" w:rsidRPr="002076F5" w:rsidRDefault="00A5183B" w:rsidP="00A5183B">
      <w:pPr>
        <w:pStyle w:val="Indent1"/>
        <w:rPr>
          <w:rFonts w:ascii="Arial" w:hAnsi="Arial" w:cs="Arial"/>
          <w:sz w:val="22"/>
          <w:szCs w:val="22"/>
          <w:lang w:val="fr-CH"/>
        </w:rPr>
      </w:pPr>
    </w:p>
    <w:p w14:paraId="6193E681" w14:textId="77777777" w:rsidR="00A5183B" w:rsidRPr="002076F5" w:rsidRDefault="00A5183B" w:rsidP="00A5183B">
      <w:pPr>
        <w:pStyle w:val="Heading1"/>
        <w:rPr>
          <w:rFonts w:cs="Arial"/>
          <w:szCs w:val="22"/>
        </w:rPr>
      </w:pPr>
      <w:r w:rsidRPr="002076F5">
        <w:rPr>
          <w:szCs w:val="22"/>
        </w:rPr>
        <w:t>Type d’engagement :</w:t>
      </w:r>
      <w:r w:rsidRPr="002076F5">
        <w:rPr>
          <w:rFonts w:cs="Arial"/>
          <w:b w:val="0"/>
          <w:szCs w:val="22"/>
        </w:rPr>
        <w:tab/>
        <w:t>OUVERT</w:t>
      </w:r>
      <w:r w:rsidRPr="002076F5">
        <w:rPr>
          <w:rFonts w:cs="Arial"/>
          <w:szCs w:val="22"/>
        </w:rPr>
        <w:t xml:space="preserve">   </w:t>
      </w:r>
    </w:p>
    <w:p w14:paraId="01FEBB0F" w14:textId="77777777" w:rsidR="00A5183B" w:rsidRPr="002076F5" w:rsidRDefault="00A5183B" w:rsidP="00A5183B">
      <w:pPr>
        <w:rPr>
          <w:lang w:val="fr-CH"/>
        </w:rPr>
      </w:pPr>
    </w:p>
    <w:p w14:paraId="245AD9E9" w14:textId="77777777" w:rsidR="00A5183B" w:rsidRPr="002076F5" w:rsidRDefault="00A5183B" w:rsidP="00A5183B">
      <w:pPr>
        <w:rPr>
          <w:rFonts w:cs="Arial"/>
          <w:i/>
          <w:color w:val="2F5496"/>
          <w:szCs w:val="22"/>
          <w:lang w:val="fr-CH"/>
        </w:rPr>
      </w:pPr>
      <w:r w:rsidRPr="002076F5">
        <w:rPr>
          <w:rFonts w:ascii="Arial" w:hAnsi="Arial"/>
          <w:b/>
          <w:bCs/>
          <w:sz w:val="22"/>
          <w:szCs w:val="22"/>
          <w:lang w:val="fr-CH"/>
        </w:rPr>
        <w:t>Signataires cibles de l’engagement :</w:t>
      </w:r>
      <w:r w:rsidRPr="002076F5">
        <w:rPr>
          <w:lang w:val="fr-CH"/>
        </w:rPr>
        <w:t xml:space="preserve"> </w:t>
      </w:r>
      <w:r w:rsidRPr="002076F5">
        <w:rPr>
          <w:rFonts w:ascii="Arial" w:hAnsi="Arial" w:cs="Arial"/>
          <w:iCs/>
          <w:color w:val="2F5496"/>
          <w:sz w:val="22"/>
          <w:szCs w:val="22"/>
          <w:lang w:val="fr-CH"/>
        </w:rPr>
        <w:t>Composantes du Mouvement seulement</w:t>
      </w:r>
      <w:r w:rsidRPr="002076F5">
        <w:rPr>
          <w:lang w:val="fr-CH"/>
        </w:rPr>
        <w:t xml:space="preserve"> </w:t>
      </w:r>
    </w:p>
    <w:p w14:paraId="4C66809C" w14:textId="77777777" w:rsidR="00A5183B" w:rsidRPr="002076F5" w:rsidRDefault="00A5183B" w:rsidP="00A5183B">
      <w:pPr>
        <w:pStyle w:val="Indent1"/>
        <w:ind w:left="0" w:firstLine="0"/>
        <w:rPr>
          <w:rFonts w:ascii="Arial" w:hAnsi="Arial" w:cs="Arial"/>
          <w:sz w:val="22"/>
          <w:szCs w:val="22"/>
          <w:lang w:val="fr-CH"/>
        </w:rPr>
      </w:pPr>
    </w:p>
    <w:p w14:paraId="1360BDA9" w14:textId="77777777" w:rsidR="00A5183B" w:rsidRPr="002076F5" w:rsidRDefault="00A5183B" w:rsidP="00A5183B">
      <w:pPr>
        <w:pStyle w:val="Indent1"/>
        <w:rPr>
          <w:rFonts w:ascii="Arial" w:hAnsi="Arial" w:cs="Arial"/>
          <w:b/>
          <w:sz w:val="22"/>
          <w:szCs w:val="22"/>
          <w:lang w:val="fr-CH"/>
        </w:rPr>
      </w:pPr>
      <w:r w:rsidRPr="002076F5">
        <w:rPr>
          <w:rFonts w:ascii="Arial" w:hAnsi="Arial" w:cs="Arial"/>
          <w:b/>
          <w:sz w:val="22"/>
          <w:szCs w:val="22"/>
          <w:lang w:val="fr-CH"/>
        </w:rPr>
        <w:t>Thème(s)/sujet(s) de la Conférence internationale lié(s) à cet engagement :</w:t>
      </w:r>
    </w:p>
    <w:p w14:paraId="0158BFD6" w14:textId="77777777" w:rsidR="00A5183B" w:rsidRPr="002076F5" w:rsidRDefault="00A5183B" w:rsidP="00A5183B">
      <w:pPr>
        <w:pStyle w:val="MediumGrid1-Accent21"/>
        <w:spacing w:after="0" w:line="240" w:lineRule="auto"/>
        <w:ind w:left="0"/>
        <w:jc w:val="both"/>
        <w:rPr>
          <w:rFonts w:ascii="Arial" w:hAnsi="Arial"/>
          <w:i/>
          <w:color w:val="2F5496"/>
          <w:lang w:val="fr-CH"/>
        </w:rPr>
      </w:pPr>
      <w:r w:rsidRPr="002076F5">
        <w:rPr>
          <w:rFonts w:ascii="Arial" w:hAnsi="Arial"/>
          <w:i/>
          <w:color w:val="2F5496"/>
          <w:lang w:val="fr-CH"/>
        </w:rPr>
        <w:t>L’évolution des vulnérabilités et la confiance dans l’action humanitaire</w:t>
      </w:r>
    </w:p>
    <w:p w14:paraId="44C41423" w14:textId="77777777" w:rsidR="00A5183B" w:rsidRPr="002076F5" w:rsidRDefault="00A5183B" w:rsidP="00A5183B">
      <w:pPr>
        <w:pStyle w:val="Indent1"/>
        <w:ind w:left="0" w:firstLine="0"/>
        <w:rPr>
          <w:rFonts w:ascii="Arial" w:hAnsi="Arial"/>
          <w:highlight w:val="yellow"/>
          <w:lang w:val="fr-CH"/>
        </w:rPr>
      </w:pPr>
    </w:p>
    <w:p w14:paraId="314560AD" w14:textId="77777777" w:rsidR="00A5183B" w:rsidRPr="002076F5" w:rsidRDefault="00A5183B" w:rsidP="00A5183B">
      <w:pPr>
        <w:pStyle w:val="Indent1"/>
        <w:ind w:left="0" w:firstLine="0"/>
        <w:rPr>
          <w:rFonts w:ascii="Arial" w:hAnsi="Arial" w:cs="Arial"/>
          <w:sz w:val="22"/>
          <w:szCs w:val="22"/>
          <w:lang w:val="fr-CH"/>
        </w:rPr>
      </w:pPr>
      <w:r w:rsidRPr="002076F5">
        <w:rPr>
          <w:rFonts w:ascii="Arial" w:hAnsi="Arial" w:cs="Arial"/>
          <w:b/>
          <w:sz w:val="22"/>
          <w:szCs w:val="22"/>
          <w:lang w:val="fr-CH"/>
        </w:rPr>
        <w:t>Engagement pour la période 2019–2023</w:t>
      </w:r>
    </w:p>
    <w:p w14:paraId="4D9AA99C"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p>
    <w:p w14:paraId="41699A91"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r w:rsidRPr="002076F5">
        <w:rPr>
          <w:rFonts w:ascii="Arial" w:eastAsia="Calibri" w:hAnsi="Arial" w:cs="Arial"/>
          <w:color w:val="2F5496"/>
          <w:sz w:val="22"/>
          <w:szCs w:val="22"/>
          <w:lang w:val="fr-CH"/>
        </w:rPr>
        <w:t xml:space="preserve">Les volontaires sont au </w:t>
      </w:r>
      <w:r>
        <w:rPr>
          <w:rFonts w:ascii="Arial" w:eastAsia="Calibri" w:hAnsi="Arial" w:cs="Arial"/>
          <w:color w:val="2F5496"/>
          <w:sz w:val="22"/>
          <w:szCs w:val="22"/>
          <w:lang w:val="fr-CH"/>
        </w:rPr>
        <w:t>c</w:t>
      </w:r>
      <w:r w:rsidRPr="002076F5">
        <w:rPr>
          <w:rFonts w:ascii="Arial" w:eastAsia="Calibri" w:hAnsi="Arial" w:cs="Arial"/>
          <w:color w:val="2F5496"/>
          <w:sz w:val="22"/>
          <w:szCs w:val="22"/>
          <w:lang w:val="fr-CH"/>
        </w:rPr>
        <w:t xml:space="preserve">œur du Mouvement de la Croix-Rouge et du Croissant-Rouge et leur sûreté, leur sécurité et leur bien-être sont essentiels à la réussite de leur mission. Pourtant, les recherches menées par la Fédération internationale ont révélé des lacunes dans l’appui que </w:t>
      </w:r>
      <w:r>
        <w:rPr>
          <w:rFonts w:ascii="Arial" w:eastAsia="Calibri" w:hAnsi="Arial" w:cs="Arial"/>
          <w:color w:val="2F5496"/>
          <w:sz w:val="22"/>
          <w:szCs w:val="22"/>
          <w:lang w:val="fr-CH"/>
        </w:rPr>
        <w:t>nous offrons aux</w:t>
      </w:r>
      <w:r w:rsidRPr="002076F5">
        <w:rPr>
          <w:rFonts w:ascii="Arial" w:eastAsia="Calibri" w:hAnsi="Arial" w:cs="Arial"/>
          <w:color w:val="2F5496"/>
          <w:sz w:val="22"/>
          <w:szCs w:val="22"/>
          <w:lang w:val="fr-CH"/>
        </w:rPr>
        <w:t xml:space="preserve"> volontaires humanitaires </w:t>
      </w:r>
      <w:r>
        <w:rPr>
          <w:rFonts w:ascii="Arial" w:eastAsia="Calibri" w:hAnsi="Arial" w:cs="Arial"/>
          <w:color w:val="2F5496"/>
          <w:sz w:val="22"/>
          <w:szCs w:val="22"/>
          <w:lang w:val="fr-CH"/>
        </w:rPr>
        <w:t>face aux risques qu’ils rencontrent</w:t>
      </w:r>
      <w:r w:rsidRPr="002076F5">
        <w:rPr>
          <w:rFonts w:ascii="Arial" w:eastAsia="Calibri" w:hAnsi="Arial" w:cs="Arial"/>
          <w:color w:val="2F5496"/>
          <w:sz w:val="22"/>
          <w:szCs w:val="22"/>
          <w:lang w:val="fr-CH"/>
        </w:rPr>
        <w:t xml:space="preserve">, alors qu’ils interviennent de plus en plus dans des situations extrêmement </w:t>
      </w:r>
      <w:r>
        <w:rPr>
          <w:rFonts w:ascii="Arial" w:eastAsia="Calibri" w:hAnsi="Arial" w:cs="Arial"/>
          <w:color w:val="2F5496"/>
          <w:sz w:val="22"/>
          <w:szCs w:val="22"/>
          <w:lang w:val="fr-CH"/>
        </w:rPr>
        <w:t>fragiles</w:t>
      </w:r>
      <w:r w:rsidRPr="002076F5">
        <w:rPr>
          <w:rFonts w:ascii="Arial" w:eastAsia="Calibri" w:hAnsi="Arial" w:cs="Arial"/>
          <w:color w:val="2F5496"/>
          <w:sz w:val="22"/>
          <w:szCs w:val="22"/>
          <w:lang w:val="fr-CH"/>
        </w:rPr>
        <w:t xml:space="preserve">, d’urgence complexe ou de conflits prolongés. Ils sont notamment confrontés à des situations de stigmatisation, de danger et de détresse psychologique, au manque d’accès à des équipements et à des formations de base, </w:t>
      </w:r>
      <w:r>
        <w:rPr>
          <w:rFonts w:ascii="Arial" w:eastAsia="Calibri" w:hAnsi="Arial" w:cs="Arial"/>
          <w:color w:val="2F5496"/>
          <w:sz w:val="22"/>
          <w:szCs w:val="22"/>
          <w:lang w:val="fr-CH"/>
        </w:rPr>
        <w:t xml:space="preserve">et </w:t>
      </w:r>
      <w:r w:rsidRPr="002076F5">
        <w:rPr>
          <w:rFonts w:ascii="Arial" w:eastAsia="Calibri" w:hAnsi="Arial" w:cs="Arial"/>
          <w:color w:val="2F5496"/>
          <w:sz w:val="22"/>
          <w:szCs w:val="22"/>
          <w:lang w:val="fr-CH"/>
        </w:rPr>
        <w:t xml:space="preserve">à des taux de protection par une </w:t>
      </w:r>
      <w:r w:rsidRPr="00C42B93">
        <w:rPr>
          <w:rFonts w:ascii="Arial" w:eastAsia="Calibri" w:hAnsi="Arial" w:cs="Arial"/>
          <w:color w:val="2F5496"/>
          <w:sz w:val="22"/>
          <w:szCs w:val="22"/>
          <w:lang w:val="fr-CH"/>
        </w:rPr>
        <w:t>assurance</w:t>
      </w:r>
      <w:r w:rsidRPr="002076F5">
        <w:rPr>
          <w:rFonts w:ascii="Arial" w:eastAsia="Calibri" w:hAnsi="Arial" w:cs="Arial"/>
          <w:color w:val="2F5496"/>
          <w:sz w:val="22"/>
          <w:szCs w:val="22"/>
          <w:lang w:val="fr-CH"/>
        </w:rPr>
        <w:t xml:space="preserve"> ou un autre « filet de sécurité » globalement bas. En 2015, la résolution 5 de la </w:t>
      </w:r>
      <w:proofErr w:type="spellStart"/>
      <w:r w:rsidRPr="002076F5">
        <w:rPr>
          <w:rFonts w:ascii="Arial" w:eastAsia="Calibri" w:hAnsi="Arial" w:cs="Arial"/>
          <w:color w:val="2F5496"/>
          <w:sz w:val="22"/>
          <w:szCs w:val="22"/>
          <w:lang w:val="fr-CH"/>
        </w:rPr>
        <w:t>XXXII</w:t>
      </w:r>
      <w:r w:rsidRPr="002076F5">
        <w:rPr>
          <w:rFonts w:ascii="Arial" w:eastAsia="Calibri" w:hAnsi="Arial" w:cs="Arial"/>
          <w:color w:val="2F5496"/>
          <w:sz w:val="22"/>
          <w:szCs w:val="22"/>
          <w:vertAlign w:val="superscript"/>
          <w:lang w:val="fr-CH"/>
        </w:rPr>
        <w:t>e</w:t>
      </w:r>
      <w:proofErr w:type="spellEnd"/>
      <w:r w:rsidRPr="002076F5">
        <w:rPr>
          <w:rFonts w:ascii="Arial" w:eastAsia="Calibri" w:hAnsi="Arial" w:cs="Arial"/>
          <w:color w:val="2F5496"/>
          <w:sz w:val="22"/>
          <w:szCs w:val="22"/>
          <w:lang w:val="fr-CH"/>
        </w:rPr>
        <w:t xml:space="preserve"> Conférence internationale a </w:t>
      </w:r>
      <w:r>
        <w:rPr>
          <w:rFonts w:ascii="Arial" w:eastAsia="Calibri" w:hAnsi="Arial" w:cs="Arial"/>
          <w:color w:val="2F5496"/>
          <w:sz w:val="22"/>
          <w:szCs w:val="22"/>
          <w:lang w:val="fr-CH"/>
        </w:rPr>
        <w:t>mis</w:t>
      </w:r>
      <w:r w:rsidRPr="002076F5">
        <w:rPr>
          <w:rFonts w:ascii="Arial" w:eastAsia="Calibri" w:hAnsi="Arial" w:cs="Arial"/>
          <w:color w:val="2F5496"/>
          <w:sz w:val="22"/>
          <w:szCs w:val="22"/>
          <w:lang w:val="fr-CH"/>
        </w:rPr>
        <w:t xml:space="preserve"> ces problèmes </w:t>
      </w:r>
      <w:r>
        <w:rPr>
          <w:rFonts w:ascii="Arial" w:eastAsia="Calibri" w:hAnsi="Arial" w:cs="Arial"/>
          <w:color w:val="2F5496"/>
          <w:sz w:val="22"/>
          <w:szCs w:val="22"/>
          <w:lang w:val="fr-CH"/>
        </w:rPr>
        <w:t xml:space="preserve">en évidence </w:t>
      </w:r>
      <w:r w:rsidRPr="002076F5">
        <w:rPr>
          <w:rFonts w:ascii="Arial" w:eastAsia="Calibri" w:hAnsi="Arial" w:cs="Arial"/>
          <w:color w:val="2F5496"/>
          <w:sz w:val="22"/>
          <w:szCs w:val="22"/>
          <w:lang w:val="fr-CH"/>
        </w:rPr>
        <w:t xml:space="preserve">et </w:t>
      </w:r>
      <w:r>
        <w:rPr>
          <w:rFonts w:ascii="Arial" w:eastAsia="Calibri" w:hAnsi="Arial" w:cs="Arial"/>
          <w:color w:val="2F5496"/>
          <w:sz w:val="22"/>
          <w:szCs w:val="22"/>
          <w:lang w:val="fr-CH"/>
        </w:rPr>
        <w:t xml:space="preserve">engagé les </w:t>
      </w:r>
      <w:r w:rsidRPr="002076F5">
        <w:rPr>
          <w:rFonts w:ascii="Arial" w:eastAsia="Calibri" w:hAnsi="Arial" w:cs="Arial"/>
          <w:color w:val="2F5496"/>
          <w:sz w:val="22"/>
          <w:szCs w:val="22"/>
          <w:lang w:val="fr-CH"/>
        </w:rPr>
        <w:t xml:space="preserve">acteurs du Mouvement et </w:t>
      </w:r>
      <w:r>
        <w:rPr>
          <w:rFonts w:ascii="Arial" w:eastAsia="Calibri" w:hAnsi="Arial" w:cs="Arial"/>
          <w:color w:val="2F5496"/>
          <w:sz w:val="22"/>
          <w:szCs w:val="22"/>
          <w:lang w:val="fr-CH"/>
        </w:rPr>
        <w:t xml:space="preserve">les </w:t>
      </w:r>
      <w:r w:rsidRPr="002076F5">
        <w:rPr>
          <w:rFonts w:ascii="Arial" w:eastAsia="Calibri" w:hAnsi="Arial" w:cs="Arial"/>
          <w:color w:val="2F5496"/>
          <w:sz w:val="22"/>
          <w:szCs w:val="22"/>
          <w:lang w:val="fr-CH"/>
        </w:rPr>
        <w:t xml:space="preserve">États </w:t>
      </w:r>
      <w:r>
        <w:rPr>
          <w:rFonts w:ascii="Arial" w:eastAsia="Calibri" w:hAnsi="Arial" w:cs="Arial"/>
          <w:color w:val="2F5496"/>
          <w:sz w:val="22"/>
          <w:szCs w:val="22"/>
          <w:lang w:val="fr-CH"/>
        </w:rPr>
        <w:t>à</w:t>
      </w:r>
      <w:r w:rsidRPr="002076F5">
        <w:rPr>
          <w:rFonts w:ascii="Arial" w:eastAsia="Calibri" w:hAnsi="Arial" w:cs="Arial"/>
          <w:color w:val="2F5496"/>
          <w:sz w:val="22"/>
          <w:szCs w:val="22"/>
          <w:lang w:val="fr-CH"/>
        </w:rPr>
        <w:t xml:space="preserve"> prendre des mesures pour combler ces manques.</w:t>
      </w:r>
    </w:p>
    <w:p w14:paraId="0B5B7ECD"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p>
    <w:p w14:paraId="501C34F2"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r w:rsidRPr="002076F5">
        <w:rPr>
          <w:rFonts w:ascii="Arial" w:eastAsia="Calibri" w:hAnsi="Arial" w:cs="Arial"/>
          <w:color w:val="2F5496"/>
          <w:sz w:val="22"/>
          <w:szCs w:val="22"/>
          <w:lang w:val="fr-CH"/>
        </w:rPr>
        <w:t xml:space="preserve">Le présent engagement renforce les </w:t>
      </w:r>
      <w:r>
        <w:rPr>
          <w:rFonts w:ascii="Arial" w:eastAsia="Calibri" w:hAnsi="Arial" w:cs="Arial"/>
          <w:color w:val="2F5496"/>
          <w:sz w:val="22"/>
          <w:szCs w:val="22"/>
          <w:lang w:val="fr-CH"/>
        </w:rPr>
        <w:t>dispositions de</w:t>
      </w:r>
      <w:r w:rsidRPr="002076F5">
        <w:rPr>
          <w:rFonts w:ascii="Arial" w:eastAsia="Calibri" w:hAnsi="Arial" w:cs="Arial"/>
          <w:color w:val="2F5496"/>
          <w:sz w:val="22"/>
          <w:szCs w:val="22"/>
          <w:lang w:val="fr-CH"/>
        </w:rPr>
        <w:t xml:space="preserve"> la résolution 5 </w:t>
      </w:r>
      <w:r>
        <w:rPr>
          <w:rFonts w:ascii="Arial" w:eastAsia="Calibri" w:hAnsi="Arial" w:cs="Arial"/>
          <w:color w:val="2F5496"/>
          <w:sz w:val="22"/>
          <w:szCs w:val="22"/>
          <w:lang w:val="fr-CH"/>
        </w:rPr>
        <w:t>visant à</w:t>
      </w:r>
      <w:r w:rsidRPr="002076F5">
        <w:rPr>
          <w:rFonts w:ascii="Arial" w:eastAsia="Calibri" w:hAnsi="Arial" w:cs="Arial"/>
          <w:color w:val="2F5496"/>
          <w:sz w:val="22"/>
          <w:szCs w:val="22"/>
          <w:lang w:val="fr-CH"/>
        </w:rPr>
        <w:t xml:space="preserve"> garantir la sûreté, la sécurité et le bien-être des volontaires, et </w:t>
      </w:r>
      <w:r>
        <w:rPr>
          <w:rFonts w:ascii="Arial" w:eastAsia="Calibri" w:hAnsi="Arial" w:cs="Arial"/>
          <w:color w:val="2F5496"/>
          <w:sz w:val="22"/>
          <w:szCs w:val="22"/>
          <w:lang w:val="fr-CH"/>
        </w:rPr>
        <w:t>à faire en sorte</w:t>
      </w:r>
      <w:r w:rsidRPr="002076F5">
        <w:rPr>
          <w:rFonts w:ascii="Arial" w:eastAsia="Calibri" w:hAnsi="Arial" w:cs="Arial"/>
          <w:color w:val="2F5496"/>
          <w:sz w:val="22"/>
          <w:szCs w:val="22"/>
          <w:lang w:val="fr-CH"/>
        </w:rPr>
        <w:t xml:space="preserve"> que les volontaires (ou leurs familles) bénéficient de compensations adéquates s’ils sont tués ou blessés dans l’accomplissement de leur mission. À cet égard, une nouvelle solution globale est nécessaire afin de combler les lacunes</w:t>
      </w:r>
      <w:r>
        <w:rPr>
          <w:rFonts w:ascii="Arial" w:eastAsia="Calibri" w:hAnsi="Arial" w:cs="Arial"/>
          <w:color w:val="2F5496"/>
          <w:sz w:val="22"/>
          <w:szCs w:val="22"/>
          <w:lang w:val="fr-CH"/>
        </w:rPr>
        <w:t xml:space="preserve"> de la </w:t>
      </w:r>
      <w:r w:rsidRPr="002076F5">
        <w:rPr>
          <w:rFonts w:ascii="Arial" w:eastAsia="Calibri" w:hAnsi="Arial" w:cs="Arial"/>
          <w:color w:val="2F5496"/>
          <w:sz w:val="22"/>
          <w:szCs w:val="22"/>
          <w:lang w:val="fr-CH"/>
        </w:rPr>
        <w:t xml:space="preserve">couverture, </w:t>
      </w:r>
      <w:r>
        <w:rPr>
          <w:rFonts w:ascii="Arial" w:eastAsia="Calibri" w:hAnsi="Arial" w:cs="Arial"/>
          <w:color w:val="2F5496"/>
          <w:sz w:val="22"/>
          <w:szCs w:val="22"/>
          <w:lang w:val="fr-CH"/>
        </w:rPr>
        <w:t xml:space="preserve">inévitables </w:t>
      </w:r>
      <w:r w:rsidRPr="002076F5">
        <w:rPr>
          <w:rFonts w:ascii="Arial" w:eastAsia="Calibri" w:hAnsi="Arial" w:cs="Arial"/>
          <w:color w:val="2F5496"/>
          <w:sz w:val="22"/>
          <w:szCs w:val="22"/>
          <w:lang w:val="fr-CH"/>
        </w:rPr>
        <w:t xml:space="preserve">lorsque les Sociétés nationales manquent de moyens. </w:t>
      </w:r>
      <w:r w:rsidRPr="007B552D">
        <w:rPr>
          <w:rFonts w:ascii="Arial" w:eastAsia="Calibri" w:hAnsi="Arial" w:cs="Arial"/>
          <w:color w:val="2F5496"/>
          <w:sz w:val="22"/>
          <w:szCs w:val="22"/>
          <w:lang w:val="fr-CH"/>
        </w:rPr>
        <w:t>La solution choisie par la Fédération internationale de faire appel au secteur privé par le biais d’un contrat d’assurance d’ampleur mondiale s’est avérée délicate pour garantir la fourniture en temps voulu d’une couverture appropriée</w:t>
      </w:r>
      <w:r w:rsidRPr="002076F5">
        <w:rPr>
          <w:rFonts w:ascii="Arial" w:eastAsia="Calibri" w:hAnsi="Arial" w:cs="Arial"/>
          <w:color w:val="2F5496"/>
          <w:sz w:val="22"/>
          <w:szCs w:val="22"/>
          <w:lang w:val="fr-CH"/>
        </w:rPr>
        <w:t xml:space="preserve">. </w:t>
      </w:r>
    </w:p>
    <w:p w14:paraId="652803C6"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p>
    <w:p w14:paraId="4B25B74B"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p>
    <w:p w14:paraId="00F59576" w14:textId="77777777" w:rsidR="00A5183B" w:rsidRPr="002076F5" w:rsidRDefault="00A5183B" w:rsidP="00A5183B">
      <w:pPr>
        <w:overflowPunct/>
        <w:autoSpaceDE/>
        <w:autoSpaceDN/>
        <w:adjustRightInd/>
        <w:contextualSpacing/>
        <w:jc w:val="both"/>
        <w:textAlignment w:val="auto"/>
        <w:rPr>
          <w:rFonts w:ascii="Arial" w:eastAsia="Calibri" w:hAnsi="Arial" w:cs="Arial"/>
          <w:b/>
          <w:sz w:val="22"/>
          <w:szCs w:val="22"/>
          <w:lang w:val="fr-CH"/>
        </w:rPr>
      </w:pPr>
      <w:r w:rsidRPr="002076F5">
        <w:rPr>
          <w:rFonts w:ascii="Arial" w:hAnsi="Arial" w:cs="Arial"/>
          <w:b/>
          <w:color w:val="000000"/>
          <w:sz w:val="22"/>
          <w:szCs w:val="22"/>
          <w:lang w:val="fr-CH"/>
        </w:rPr>
        <w:t>Plan d’action </w:t>
      </w:r>
      <w:r w:rsidRPr="002076F5">
        <w:rPr>
          <w:rFonts w:ascii="Arial" w:eastAsia="Calibri" w:hAnsi="Arial" w:cs="Arial"/>
          <w:b/>
          <w:sz w:val="22"/>
          <w:szCs w:val="22"/>
          <w:lang w:val="fr-CH"/>
        </w:rPr>
        <w:t>:</w:t>
      </w:r>
    </w:p>
    <w:p w14:paraId="687381D8" w14:textId="77777777" w:rsidR="00A5183B" w:rsidRPr="002076F5" w:rsidRDefault="00A5183B" w:rsidP="00A5183B">
      <w:pPr>
        <w:pStyle w:val="CommentText"/>
        <w:jc w:val="both"/>
        <w:rPr>
          <w:rFonts w:ascii="Arial" w:hAnsi="Arial" w:cs="Arial"/>
          <w:color w:val="2F5496"/>
          <w:sz w:val="22"/>
          <w:szCs w:val="22"/>
          <w:lang w:val="fr-CH"/>
        </w:rPr>
      </w:pPr>
    </w:p>
    <w:p w14:paraId="32491B3B" w14:textId="77777777" w:rsidR="00A5183B" w:rsidRPr="002076F5" w:rsidRDefault="00A5183B" w:rsidP="00A5183B">
      <w:pPr>
        <w:pBdr>
          <w:top w:val="nil"/>
          <w:left w:val="nil"/>
          <w:bottom w:val="nil"/>
          <w:right w:val="nil"/>
          <w:between w:val="nil"/>
        </w:pBdr>
        <w:spacing w:line="276" w:lineRule="auto"/>
        <w:contextualSpacing/>
        <w:jc w:val="both"/>
        <w:rPr>
          <w:rFonts w:ascii="Arial" w:hAnsi="Arial" w:cs="Arial"/>
          <w:color w:val="2F5496"/>
          <w:sz w:val="22"/>
          <w:szCs w:val="22"/>
          <w:lang w:val="fr-CH"/>
        </w:rPr>
      </w:pPr>
      <w:r w:rsidRPr="002076F5">
        <w:rPr>
          <w:rFonts w:ascii="Arial" w:hAnsi="Arial" w:cs="Arial"/>
          <w:color w:val="2F5496"/>
          <w:sz w:val="22"/>
          <w:szCs w:val="22"/>
          <w:lang w:val="fr-CH"/>
        </w:rPr>
        <w:t>Nous nous engageons à :</w:t>
      </w:r>
    </w:p>
    <w:p w14:paraId="39A66A9E" w14:textId="77777777" w:rsidR="00A5183B" w:rsidRPr="002076F5" w:rsidRDefault="00A5183B" w:rsidP="00A5183B">
      <w:pPr>
        <w:pStyle w:val="ListParagraph"/>
        <w:numPr>
          <w:ilvl w:val="0"/>
          <w:numId w:val="38"/>
        </w:numPr>
        <w:spacing w:after="160" w:line="259" w:lineRule="auto"/>
        <w:jc w:val="both"/>
        <w:rPr>
          <w:rFonts w:ascii="Arial" w:hAnsi="Arial" w:cs="Arial"/>
          <w:color w:val="2F5496"/>
          <w:sz w:val="22"/>
          <w:szCs w:val="22"/>
          <w:lang w:val="fr-CH"/>
        </w:rPr>
      </w:pPr>
      <w:proofErr w:type="gramStart"/>
      <w:r>
        <w:rPr>
          <w:rFonts w:ascii="Arial" w:hAnsi="Arial" w:cs="Arial"/>
          <w:color w:val="2F5496"/>
          <w:sz w:val="22"/>
          <w:szCs w:val="22"/>
          <w:lang w:val="fr-CH"/>
        </w:rPr>
        <w:t>c</w:t>
      </w:r>
      <w:r w:rsidRPr="002076F5">
        <w:rPr>
          <w:rFonts w:ascii="Arial" w:hAnsi="Arial" w:cs="Arial"/>
          <w:color w:val="2F5496"/>
          <w:sz w:val="22"/>
          <w:szCs w:val="22"/>
          <w:lang w:val="fr-CH"/>
        </w:rPr>
        <w:t>onsacrer</w:t>
      </w:r>
      <w:proofErr w:type="gramEnd"/>
      <w:r w:rsidRPr="002076F5">
        <w:rPr>
          <w:rFonts w:ascii="Arial" w:hAnsi="Arial" w:cs="Arial"/>
          <w:color w:val="2F5496"/>
          <w:sz w:val="22"/>
          <w:szCs w:val="22"/>
          <w:lang w:val="fr-CH"/>
        </w:rPr>
        <w:t xml:space="preserve"> des ressources prévisibles et appropriées à la sûreté, à la sécurité et au bien-être des volontaires ;</w:t>
      </w:r>
    </w:p>
    <w:p w14:paraId="4055147A" w14:textId="77777777" w:rsidR="00A5183B" w:rsidRPr="002076F5" w:rsidRDefault="00A5183B" w:rsidP="00A5183B">
      <w:pPr>
        <w:pStyle w:val="ListParagraph"/>
        <w:numPr>
          <w:ilvl w:val="0"/>
          <w:numId w:val="38"/>
        </w:numPr>
        <w:spacing w:after="160" w:line="259" w:lineRule="auto"/>
        <w:jc w:val="both"/>
        <w:rPr>
          <w:rFonts w:ascii="Arial" w:hAnsi="Arial" w:cs="Arial"/>
          <w:color w:val="2F5496"/>
          <w:sz w:val="22"/>
          <w:szCs w:val="22"/>
          <w:lang w:val="fr-CH"/>
        </w:rPr>
      </w:pPr>
      <w:proofErr w:type="gramStart"/>
      <w:r>
        <w:rPr>
          <w:rFonts w:ascii="Arial" w:hAnsi="Arial" w:cs="Arial"/>
          <w:color w:val="2F5496"/>
          <w:sz w:val="22"/>
          <w:szCs w:val="22"/>
          <w:lang w:val="fr-CH"/>
        </w:rPr>
        <w:t>r</w:t>
      </w:r>
      <w:r w:rsidRPr="002076F5">
        <w:rPr>
          <w:rFonts w:ascii="Arial" w:hAnsi="Arial" w:cs="Arial"/>
          <w:color w:val="2F5496"/>
          <w:sz w:val="22"/>
          <w:szCs w:val="22"/>
          <w:lang w:val="fr-CH"/>
        </w:rPr>
        <w:t>éfléchir</w:t>
      </w:r>
      <w:proofErr w:type="gramEnd"/>
      <w:r w:rsidRPr="002076F5">
        <w:rPr>
          <w:rFonts w:ascii="Arial" w:hAnsi="Arial" w:cs="Arial"/>
          <w:color w:val="2F5496"/>
          <w:sz w:val="22"/>
          <w:szCs w:val="22"/>
          <w:lang w:val="fr-CH"/>
        </w:rPr>
        <w:t xml:space="preserve"> en commun à la création d’un fond</w:t>
      </w:r>
      <w:r>
        <w:rPr>
          <w:rFonts w:ascii="Arial" w:hAnsi="Arial" w:cs="Arial"/>
          <w:color w:val="2F5496"/>
          <w:sz w:val="22"/>
          <w:szCs w:val="22"/>
          <w:lang w:val="fr-CH"/>
        </w:rPr>
        <w:t>s</w:t>
      </w:r>
      <w:r w:rsidRPr="002076F5">
        <w:rPr>
          <w:rFonts w:ascii="Arial" w:hAnsi="Arial" w:cs="Arial"/>
          <w:color w:val="2F5496"/>
          <w:sz w:val="22"/>
          <w:szCs w:val="22"/>
          <w:lang w:val="fr-CH"/>
        </w:rPr>
        <w:t xml:space="preserve"> </w:t>
      </w:r>
      <w:r>
        <w:rPr>
          <w:rFonts w:ascii="Arial" w:hAnsi="Arial" w:cs="Arial"/>
          <w:color w:val="2F5496"/>
          <w:sz w:val="22"/>
          <w:szCs w:val="22"/>
          <w:lang w:val="fr-CH"/>
        </w:rPr>
        <w:t>m</w:t>
      </w:r>
      <w:r w:rsidRPr="002076F5">
        <w:rPr>
          <w:rFonts w:ascii="Arial" w:hAnsi="Arial" w:cs="Arial"/>
          <w:color w:val="2F5496"/>
          <w:sz w:val="22"/>
          <w:szCs w:val="22"/>
          <w:lang w:val="fr-CH"/>
        </w:rPr>
        <w:t xml:space="preserve">ondial de solidarité destiné aux volontaires de la Croix-Rouge et du Croissant-Rouge </w:t>
      </w:r>
      <w:r w:rsidRPr="002076F5">
        <w:rPr>
          <w:rFonts w:ascii="Arial" w:eastAsia="Calibri" w:hAnsi="Arial" w:cs="Arial"/>
          <w:color w:val="2F5496"/>
          <w:sz w:val="22"/>
          <w:szCs w:val="22"/>
          <w:lang w:val="fr-CH"/>
        </w:rPr>
        <w:t>tués ou blessés dans l’accomplissement de leur mission</w:t>
      </w:r>
      <w:r>
        <w:rPr>
          <w:rFonts w:ascii="Arial" w:eastAsia="Calibri" w:hAnsi="Arial" w:cs="Arial"/>
          <w:color w:val="2F5496"/>
          <w:sz w:val="22"/>
          <w:szCs w:val="22"/>
          <w:lang w:val="fr-CH"/>
        </w:rPr>
        <w:t>,</w:t>
      </w:r>
      <w:r w:rsidRPr="002076F5">
        <w:rPr>
          <w:rFonts w:ascii="Arial" w:eastAsia="Calibri" w:hAnsi="Arial" w:cs="Arial"/>
          <w:color w:val="2F5496"/>
          <w:sz w:val="22"/>
          <w:szCs w:val="22"/>
          <w:lang w:val="fr-CH"/>
        </w:rPr>
        <w:t xml:space="preserve"> dans </w:t>
      </w:r>
      <w:r>
        <w:rPr>
          <w:rFonts w:ascii="Arial" w:eastAsia="Calibri" w:hAnsi="Arial" w:cs="Arial"/>
          <w:color w:val="2F5496"/>
          <w:sz w:val="22"/>
          <w:szCs w:val="22"/>
          <w:lang w:val="fr-CH"/>
        </w:rPr>
        <w:t>les contextes où la</w:t>
      </w:r>
      <w:r w:rsidRPr="002076F5">
        <w:rPr>
          <w:rFonts w:ascii="Arial" w:eastAsia="Calibri" w:hAnsi="Arial" w:cs="Arial"/>
          <w:color w:val="2F5496"/>
          <w:sz w:val="22"/>
          <w:szCs w:val="22"/>
          <w:lang w:val="fr-CH"/>
        </w:rPr>
        <w:t xml:space="preserve"> couverture en matière d’assurance</w:t>
      </w:r>
      <w:r>
        <w:rPr>
          <w:rFonts w:ascii="Arial" w:eastAsia="Calibri" w:hAnsi="Arial" w:cs="Arial"/>
          <w:color w:val="2F5496"/>
          <w:sz w:val="22"/>
          <w:szCs w:val="22"/>
          <w:lang w:val="fr-CH"/>
        </w:rPr>
        <w:t xml:space="preserve"> est </w:t>
      </w:r>
      <w:r w:rsidRPr="002076F5">
        <w:rPr>
          <w:rFonts w:ascii="Arial" w:eastAsia="Calibri" w:hAnsi="Arial" w:cs="Arial"/>
          <w:color w:val="2F5496"/>
          <w:sz w:val="22"/>
          <w:szCs w:val="22"/>
          <w:lang w:val="fr-CH"/>
        </w:rPr>
        <w:t>insuffisante ;</w:t>
      </w:r>
    </w:p>
    <w:p w14:paraId="1AFF6770" w14:textId="77777777" w:rsidR="00A5183B" w:rsidRPr="002076F5" w:rsidRDefault="00A5183B" w:rsidP="00A5183B">
      <w:pPr>
        <w:pStyle w:val="ListParagraph"/>
        <w:numPr>
          <w:ilvl w:val="0"/>
          <w:numId w:val="38"/>
        </w:numPr>
        <w:autoSpaceDE w:val="0"/>
        <w:autoSpaceDN w:val="0"/>
        <w:adjustRightInd w:val="0"/>
        <w:spacing w:after="160" w:line="259" w:lineRule="auto"/>
        <w:jc w:val="both"/>
        <w:rPr>
          <w:rFonts w:ascii="Arial" w:hAnsi="Arial" w:cs="Arial"/>
          <w:color w:val="2F5496"/>
          <w:sz w:val="22"/>
          <w:szCs w:val="22"/>
          <w:lang w:val="fr-CH"/>
        </w:rPr>
      </w:pPr>
      <w:proofErr w:type="gramStart"/>
      <w:r>
        <w:rPr>
          <w:rFonts w:ascii="Arial" w:hAnsi="Arial" w:cs="Arial"/>
          <w:color w:val="2F5496"/>
          <w:sz w:val="22"/>
          <w:szCs w:val="22"/>
          <w:lang w:val="fr-CH"/>
        </w:rPr>
        <w:lastRenderedPageBreak/>
        <w:t>r</w:t>
      </w:r>
      <w:r w:rsidRPr="002076F5">
        <w:rPr>
          <w:rFonts w:ascii="Arial" w:hAnsi="Arial" w:cs="Arial"/>
          <w:color w:val="2F5496"/>
          <w:sz w:val="22"/>
          <w:szCs w:val="22"/>
          <w:lang w:val="fr-CH"/>
        </w:rPr>
        <w:t>enforcer</w:t>
      </w:r>
      <w:proofErr w:type="gramEnd"/>
      <w:r w:rsidRPr="002076F5">
        <w:rPr>
          <w:rFonts w:ascii="Arial" w:hAnsi="Arial" w:cs="Arial"/>
          <w:color w:val="2F5496"/>
          <w:sz w:val="22"/>
          <w:szCs w:val="22"/>
          <w:lang w:val="fr-CH"/>
        </w:rPr>
        <w:t xml:space="preserve"> les efforts existants pour </w:t>
      </w:r>
      <w:r>
        <w:rPr>
          <w:rFonts w:ascii="Arial" w:hAnsi="Arial" w:cs="Arial"/>
          <w:color w:val="2F5496"/>
          <w:sz w:val="22"/>
          <w:szCs w:val="22"/>
          <w:lang w:val="fr-CH"/>
        </w:rPr>
        <w:t>fournir</w:t>
      </w:r>
      <w:r w:rsidRPr="002076F5">
        <w:rPr>
          <w:rFonts w:ascii="Arial" w:hAnsi="Arial" w:cs="Arial"/>
          <w:color w:val="2F5496"/>
          <w:sz w:val="22"/>
          <w:szCs w:val="22"/>
          <w:lang w:val="fr-CH"/>
        </w:rPr>
        <w:t xml:space="preserve"> aux volontaires, en temps voulu, des informations, des formations, des équipements de protection et un soutien psychosocial appropriés en matière de sûreté et de sécurité.</w:t>
      </w:r>
    </w:p>
    <w:p w14:paraId="532FE25E" w14:textId="77777777" w:rsidR="00A5183B" w:rsidRPr="002076F5" w:rsidRDefault="00A5183B" w:rsidP="00A5183B">
      <w:pPr>
        <w:pStyle w:val="Indent1"/>
        <w:tabs>
          <w:tab w:val="clear" w:pos="396"/>
        </w:tabs>
        <w:ind w:left="0" w:firstLine="0"/>
        <w:rPr>
          <w:rFonts w:ascii="Arial" w:hAnsi="Arial" w:cs="Arial"/>
          <w:i/>
          <w:color w:val="2F5496"/>
          <w:sz w:val="22"/>
          <w:szCs w:val="22"/>
          <w:lang w:val="fr-CH"/>
        </w:rPr>
      </w:pPr>
    </w:p>
    <w:p w14:paraId="6F0C1034" w14:textId="77777777" w:rsidR="00A5183B" w:rsidRPr="002076F5" w:rsidRDefault="00A5183B" w:rsidP="00A5183B">
      <w:pPr>
        <w:overflowPunct/>
        <w:autoSpaceDE/>
        <w:autoSpaceDN/>
        <w:adjustRightInd/>
        <w:contextualSpacing/>
        <w:jc w:val="both"/>
        <w:textAlignment w:val="auto"/>
        <w:rPr>
          <w:rFonts w:ascii="Arial" w:eastAsia="Calibri" w:hAnsi="Arial" w:cs="Arial"/>
          <w:b/>
          <w:bCs/>
          <w:color w:val="2F5496"/>
          <w:sz w:val="22"/>
          <w:szCs w:val="22"/>
          <w:lang w:val="fr-CH"/>
        </w:rPr>
      </w:pPr>
      <w:r w:rsidRPr="002076F5">
        <w:rPr>
          <w:rFonts w:ascii="Arial" w:hAnsi="Arial" w:cs="Arial"/>
          <w:b/>
          <w:bCs/>
          <w:sz w:val="22"/>
          <w:szCs w:val="22"/>
          <w:lang w:val="fr-CH"/>
        </w:rPr>
        <w:t>Incidences sur le plan des ressources :</w:t>
      </w:r>
    </w:p>
    <w:p w14:paraId="3CD695D9"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r w:rsidRPr="002076F5">
        <w:rPr>
          <w:rFonts w:ascii="Arial" w:eastAsia="Calibri" w:hAnsi="Arial" w:cs="Arial"/>
          <w:color w:val="2F5496"/>
          <w:sz w:val="22"/>
          <w:szCs w:val="22"/>
          <w:lang w:val="fr-CH"/>
        </w:rPr>
        <w:t xml:space="preserve">On estime à 200 000 francs suisses au moins </w:t>
      </w:r>
      <w:r>
        <w:rPr>
          <w:rFonts w:ascii="Arial" w:eastAsia="Calibri" w:hAnsi="Arial" w:cs="Arial"/>
          <w:color w:val="2F5496"/>
          <w:sz w:val="22"/>
          <w:szCs w:val="22"/>
          <w:lang w:val="fr-CH"/>
        </w:rPr>
        <w:t>le montant</w:t>
      </w:r>
      <w:r w:rsidRPr="002076F5">
        <w:rPr>
          <w:rFonts w:ascii="Arial" w:eastAsia="Calibri" w:hAnsi="Arial" w:cs="Arial"/>
          <w:color w:val="2F5496"/>
          <w:sz w:val="22"/>
          <w:szCs w:val="22"/>
          <w:lang w:val="fr-CH"/>
        </w:rPr>
        <w:t xml:space="preserve"> </w:t>
      </w:r>
      <w:r>
        <w:rPr>
          <w:rFonts w:ascii="Arial" w:eastAsia="Calibri" w:hAnsi="Arial" w:cs="Arial"/>
          <w:color w:val="2F5496"/>
          <w:sz w:val="22"/>
          <w:szCs w:val="22"/>
          <w:lang w:val="fr-CH"/>
        </w:rPr>
        <w:t>nécessaire à la création</w:t>
      </w:r>
      <w:r w:rsidRPr="002076F5">
        <w:rPr>
          <w:rFonts w:ascii="Arial" w:eastAsia="Calibri" w:hAnsi="Arial" w:cs="Arial"/>
          <w:color w:val="2F5496"/>
          <w:sz w:val="22"/>
          <w:szCs w:val="22"/>
          <w:lang w:val="fr-CH"/>
        </w:rPr>
        <w:t xml:space="preserve"> du nouveau fonds de solidarité. Ce</w:t>
      </w:r>
      <w:r>
        <w:rPr>
          <w:rFonts w:ascii="Arial" w:eastAsia="Calibri" w:hAnsi="Arial" w:cs="Arial"/>
          <w:color w:val="2F5496"/>
          <w:sz w:val="22"/>
          <w:szCs w:val="22"/>
          <w:lang w:val="fr-CH"/>
        </w:rPr>
        <w:t xml:space="preserve"> montant </w:t>
      </w:r>
      <w:r w:rsidRPr="002076F5">
        <w:rPr>
          <w:rFonts w:ascii="Arial" w:eastAsia="Calibri" w:hAnsi="Arial" w:cs="Arial"/>
          <w:color w:val="2F5496"/>
          <w:sz w:val="22"/>
          <w:szCs w:val="22"/>
          <w:lang w:val="fr-CH"/>
        </w:rPr>
        <w:t>compren</w:t>
      </w:r>
      <w:r>
        <w:rPr>
          <w:rFonts w:ascii="Arial" w:eastAsia="Calibri" w:hAnsi="Arial" w:cs="Arial"/>
          <w:color w:val="2F5496"/>
          <w:sz w:val="22"/>
          <w:szCs w:val="22"/>
          <w:lang w:val="fr-CH"/>
        </w:rPr>
        <w:t>d</w:t>
      </w:r>
      <w:r w:rsidRPr="002076F5">
        <w:rPr>
          <w:rFonts w:ascii="Arial" w:eastAsia="Calibri" w:hAnsi="Arial" w:cs="Arial"/>
          <w:color w:val="2F5496"/>
          <w:sz w:val="22"/>
          <w:szCs w:val="22"/>
          <w:lang w:val="fr-CH"/>
        </w:rPr>
        <w:t xml:space="preserve"> le coût de mise en place du fonds (y compris les dépenses liées au personnel) et le capital d’amorçage </w:t>
      </w:r>
      <w:r>
        <w:rPr>
          <w:rFonts w:ascii="Arial" w:eastAsia="Calibri" w:hAnsi="Arial" w:cs="Arial"/>
          <w:color w:val="2F5496"/>
          <w:sz w:val="22"/>
          <w:szCs w:val="22"/>
          <w:lang w:val="fr-CH"/>
        </w:rPr>
        <w:t>visant</w:t>
      </w:r>
      <w:r w:rsidRPr="002076F5">
        <w:rPr>
          <w:rFonts w:ascii="Arial" w:eastAsia="Calibri" w:hAnsi="Arial" w:cs="Arial"/>
          <w:color w:val="2F5496"/>
          <w:sz w:val="22"/>
          <w:szCs w:val="22"/>
          <w:lang w:val="fr-CH"/>
        </w:rPr>
        <w:t xml:space="preserve"> </w:t>
      </w:r>
      <w:r>
        <w:rPr>
          <w:rFonts w:ascii="Arial" w:eastAsia="Calibri" w:hAnsi="Arial" w:cs="Arial"/>
          <w:color w:val="2F5496"/>
          <w:sz w:val="22"/>
          <w:szCs w:val="22"/>
          <w:lang w:val="fr-CH"/>
        </w:rPr>
        <w:t xml:space="preserve">répondre aux demandes pendant </w:t>
      </w:r>
      <w:r w:rsidRPr="002076F5">
        <w:rPr>
          <w:rFonts w:ascii="Arial" w:eastAsia="Calibri" w:hAnsi="Arial" w:cs="Arial"/>
          <w:color w:val="2F5496"/>
          <w:sz w:val="22"/>
          <w:szCs w:val="22"/>
          <w:lang w:val="fr-CH"/>
        </w:rPr>
        <w:t>la première année.</w:t>
      </w:r>
    </w:p>
    <w:p w14:paraId="0F3F8286" w14:textId="77777777" w:rsidR="00A5183B" w:rsidRPr="002076F5" w:rsidRDefault="00A5183B" w:rsidP="00A5183B">
      <w:pPr>
        <w:overflowPunct/>
        <w:autoSpaceDE/>
        <w:autoSpaceDN/>
        <w:adjustRightInd/>
        <w:contextualSpacing/>
        <w:jc w:val="both"/>
        <w:textAlignment w:val="auto"/>
        <w:rPr>
          <w:rFonts w:ascii="Arial" w:eastAsia="Calibri" w:hAnsi="Arial" w:cs="Arial"/>
          <w:color w:val="2F5496"/>
          <w:sz w:val="22"/>
          <w:szCs w:val="22"/>
          <w:lang w:val="fr-CH"/>
        </w:rPr>
      </w:pPr>
    </w:p>
    <w:p w14:paraId="5A42F8CA" w14:textId="6953F219" w:rsidR="00B25F0A" w:rsidRDefault="00B25F0A">
      <w:pPr>
        <w:overflowPunct/>
        <w:autoSpaceDE/>
        <w:autoSpaceDN/>
        <w:adjustRightInd/>
        <w:textAlignment w:val="auto"/>
        <w:rPr>
          <w:rFonts w:ascii="Arial" w:eastAsia="Calibri" w:hAnsi="Arial" w:cs="Arial"/>
          <w:color w:val="2F5496"/>
          <w:sz w:val="22"/>
          <w:szCs w:val="22"/>
          <w:lang w:val="fr-CH"/>
        </w:rPr>
      </w:pPr>
      <w:r>
        <w:rPr>
          <w:rFonts w:ascii="Arial" w:eastAsia="Calibri" w:hAnsi="Arial" w:cs="Arial"/>
          <w:color w:val="2F5496"/>
          <w:sz w:val="22"/>
          <w:szCs w:val="22"/>
          <w:lang w:val="fr-CH"/>
        </w:rPr>
        <w:br w:type="page"/>
      </w:r>
    </w:p>
    <w:p w14:paraId="5A079E3B" w14:textId="77777777" w:rsidR="00B25F0A" w:rsidRPr="00120AF5" w:rsidRDefault="00B25F0A" w:rsidP="00B25F0A">
      <w:pPr>
        <w:pStyle w:val="BodySingle"/>
        <w:bidi/>
        <w:jc w:val="center"/>
        <w:rPr>
          <w:rFonts w:cs="Arial"/>
          <w:sz w:val="22"/>
          <w:szCs w:val="22"/>
          <w:rtl/>
        </w:rPr>
      </w:pPr>
      <w:r w:rsidRPr="00E62296">
        <w:rPr>
          <w:noProof/>
          <w:sz w:val="18"/>
          <w:szCs w:val="18"/>
        </w:rPr>
        <w:lastRenderedPageBreak/>
        <w:drawing>
          <wp:inline distT="0" distB="0" distL="0" distR="0" wp14:anchorId="183F914B" wp14:editId="59B5A60A">
            <wp:extent cx="2862470" cy="914400"/>
            <wp:effectExtent l="0" t="0" r="0" b="0"/>
            <wp:docPr id="365" name="Picture 365" descr="T:\Language\2019\Arabic\STATUTORY MEETINGS 2019\logo\All logos\Logo-IFRC_33InternationalConference_2018-AR.png"/>
            <wp:cNvGraphicFramePr/>
            <a:graphic xmlns:a="http://schemas.openxmlformats.org/drawingml/2006/main">
              <a:graphicData uri="http://schemas.openxmlformats.org/drawingml/2006/picture">
                <pic:pic xmlns:pic="http://schemas.openxmlformats.org/drawingml/2006/picture">
                  <pic:nvPicPr>
                    <pic:cNvPr id="365" name="Picture 365" descr="T:\Language\2019\Arabic\STATUTORY MEETINGS 2019\logo\All logos\Logo-IFRC_33InternationalConference_2018-AR.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003" cy="931181"/>
                    </a:xfrm>
                    <a:prstGeom prst="rect">
                      <a:avLst/>
                    </a:prstGeom>
                    <a:noFill/>
                    <a:ln>
                      <a:noFill/>
                    </a:ln>
                  </pic:spPr>
                </pic:pic>
              </a:graphicData>
            </a:graphic>
          </wp:inline>
        </w:drawing>
      </w:r>
    </w:p>
    <w:p w14:paraId="714E1A58" w14:textId="77777777" w:rsidR="00B25F0A" w:rsidRDefault="00B25F0A" w:rsidP="00B25F0A">
      <w:pPr>
        <w:pStyle w:val="BodySingle"/>
        <w:jc w:val="center"/>
        <w:rPr>
          <w:rFonts w:cs="Arial"/>
          <w:sz w:val="22"/>
          <w:szCs w:val="22"/>
          <w:lang w:val="en-US"/>
        </w:rPr>
      </w:pPr>
    </w:p>
    <w:p w14:paraId="5C5584CC" w14:textId="77777777" w:rsidR="00B25F0A" w:rsidRPr="00120AF5" w:rsidRDefault="00B25F0A" w:rsidP="00B25F0A">
      <w:pPr>
        <w:pStyle w:val="BodySingle"/>
        <w:jc w:val="center"/>
        <w:rPr>
          <w:rFonts w:cs="Arial"/>
          <w:sz w:val="22"/>
          <w:szCs w:val="22"/>
          <w:lang w:val="en-US"/>
        </w:rPr>
      </w:pPr>
    </w:p>
    <w:p w14:paraId="57D4766D" w14:textId="77777777" w:rsidR="00B25F0A" w:rsidRPr="00120AF5" w:rsidRDefault="00B25F0A" w:rsidP="00B25F0A">
      <w:pPr>
        <w:pStyle w:val="BodySingle"/>
        <w:jc w:val="center"/>
        <w:rPr>
          <w:rFonts w:cs="Arial"/>
          <w:sz w:val="22"/>
          <w:szCs w:val="22"/>
          <w:lang w:val="en-US"/>
        </w:rPr>
      </w:pPr>
    </w:p>
    <w:p w14:paraId="0CD01828" w14:textId="77777777" w:rsidR="00B25F0A" w:rsidRPr="00515A3E" w:rsidRDefault="00B25F0A" w:rsidP="00B25F0A">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ascii="Arial" w:hAnsi="Arial" w:cs="Arial"/>
          <w:bCs/>
          <w:sz w:val="22"/>
          <w:szCs w:val="22"/>
          <w:rtl/>
        </w:rPr>
      </w:pPr>
      <w:r w:rsidRPr="00515A3E">
        <w:rPr>
          <w:rFonts w:ascii="Arial" w:hAnsi="Arial" w:hint="cs"/>
          <w:bCs/>
          <w:sz w:val="22"/>
          <w:szCs w:val="22"/>
          <w:rtl/>
        </w:rPr>
        <w:t>تعهد مفتوح</w:t>
      </w:r>
    </w:p>
    <w:p w14:paraId="263B60DE" w14:textId="77777777" w:rsidR="00B25F0A" w:rsidRPr="00120AF5" w:rsidRDefault="00B25F0A" w:rsidP="00B25F0A">
      <w:pPr>
        <w:pStyle w:val="Indent1"/>
        <w:rPr>
          <w:rFonts w:ascii="Arial" w:hAnsi="Arial" w:cs="Arial"/>
          <w:sz w:val="22"/>
          <w:szCs w:val="22"/>
          <w:lang w:val="en-US"/>
        </w:rPr>
      </w:pPr>
    </w:p>
    <w:p w14:paraId="4EFFF02D" w14:textId="77777777" w:rsidR="00B25F0A" w:rsidRPr="0078454C" w:rsidRDefault="00B25F0A" w:rsidP="00B25F0A">
      <w:pPr>
        <w:pStyle w:val="Heading1"/>
        <w:bidi/>
        <w:rPr>
          <w:szCs w:val="22"/>
          <w:rtl/>
        </w:rPr>
      </w:pPr>
      <w:r>
        <w:rPr>
          <w:rFonts w:hint="cs"/>
          <w:rtl/>
        </w:rPr>
        <w:t>عنوان التعهد:</w:t>
      </w:r>
    </w:p>
    <w:p w14:paraId="4BADCBC8" w14:textId="77777777" w:rsidR="00B25F0A" w:rsidRPr="00B21EBB" w:rsidRDefault="00B25F0A" w:rsidP="00B25F0A">
      <w:pPr>
        <w:pStyle w:val="Indent1"/>
        <w:bidi/>
        <w:rPr>
          <w:rFonts w:ascii="Arial" w:hAnsi="Arial" w:cs="Arial"/>
          <w:iCs/>
          <w:sz w:val="22"/>
          <w:szCs w:val="22"/>
          <w:rtl/>
        </w:rPr>
      </w:pPr>
      <w:r w:rsidRPr="00B21EBB">
        <w:rPr>
          <w:rFonts w:ascii="Arial" w:hAnsi="Arial" w:hint="cs"/>
          <w:iCs/>
          <w:color w:val="2F5496"/>
          <w:sz w:val="22"/>
          <w:szCs w:val="22"/>
          <w:rtl/>
        </w:rPr>
        <w:t>ضمان سلامة متطوعي الصليب الأحمر والهلال الأحمر ورفاههم</w:t>
      </w:r>
    </w:p>
    <w:p w14:paraId="656FA4E6" w14:textId="77777777" w:rsidR="00B25F0A" w:rsidRPr="00120AF5" w:rsidRDefault="00B25F0A" w:rsidP="00B25F0A">
      <w:pPr>
        <w:pStyle w:val="Indent1"/>
        <w:rPr>
          <w:rFonts w:ascii="Arial" w:hAnsi="Arial" w:cs="Arial"/>
          <w:sz w:val="22"/>
          <w:szCs w:val="22"/>
          <w:lang w:val="en-US"/>
        </w:rPr>
      </w:pPr>
    </w:p>
    <w:p w14:paraId="07160551" w14:textId="77777777" w:rsidR="00B25F0A" w:rsidRDefault="00B25F0A" w:rsidP="00B25F0A">
      <w:pPr>
        <w:pStyle w:val="Heading1"/>
        <w:bidi/>
        <w:rPr>
          <w:rFonts w:cs="Arial"/>
          <w:szCs w:val="22"/>
          <w:rtl/>
        </w:rPr>
      </w:pPr>
      <w:r>
        <w:rPr>
          <w:rFonts w:hint="cs"/>
          <w:rtl/>
        </w:rPr>
        <w:t>نوع التعهّد:</w:t>
      </w:r>
      <w:r>
        <w:rPr>
          <w:rFonts w:hint="cs"/>
          <w:b w:val="0"/>
          <w:szCs w:val="22"/>
          <w:rtl/>
        </w:rPr>
        <w:tab/>
      </w:r>
      <w:r w:rsidRPr="00E62296">
        <w:rPr>
          <w:rFonts w:hint="cs"/>
          <w:bCs w:val="0"/>
          <w:szCs w:val="22"/>
          <w:rtl/>
        </w:rPr>
        <w:t>مفتوح</w:t>
      </w:r>
      <w:r w:rsidRPr="00E62296">
        <w:rPr>
          <w:rFonts w:hint="cs"/>
          <w:bCs w:val="0"/>
          <w:rtl/>
        </w:rPr>
        <w:t xml:space="preserve"> </w:t>
      </w:r>
      <w:r>
        <w:rPr>
          <w:rFonts w:hint="cs"/>
          <w:rtl/>
        </w:rPr>
        <w:t xml:space="preserve">  </w:t>
      </w:r>
    </w:p>
    <w:p w14:paraId="72D6AE45" w14:textId="77777777" w:rsidR="00B25F0A" w:rsidRDefault="00B25F0A" w:rsidP="00B25F0A">
      <w:pPr>
        <w:rPr>
          <w:lang w:val="en-US"/>
        </w:rPr>
      </w:pPr>
    </w:p>
    <w:p w14:paraId="30E86F99" w14:textId="77777777" w:rsidR="00B25F0A" w:rsidRPr="00736829" w:rsidRDefault="00B25F0A" w:rsidP="00B25F0A">
      <w:pPr>
        <w:bidi/>
        <w:rPr>
          <w:rFonts w:cs="Arial"/>
          <w:i/>
          <w:color w:val="2F5496"/>
          <w:szCs w:val="22"/>
          <w:rtl/>
        </w:rPr>
      </w:pPr>
      <w:r>
        <w:rPr>
          <w:rFonts w:ascii="Arial" w:hAnsi="Arial" w:hint="cs"/>
          <w:b/>
          <w:bCs/>
          <w:sz w:val="22"/>
          <w:szCs w:val="22"/>
          <w:rtl/>
        </w:rPr>
        <w:t>الموقعون المعنيون بالتعهد:</w:t>
      </w:r>
      <w:r>
        <w:rPr>
          <w:rFonts w:hint="cs"/>
          <w:rtl/>
        </w:rPr>
        <w:t xml:space="preserve">   </w:t>
      </w:r>
      <w:r>
        <w:rPr>
          <w:rFonts w:ascii="Arial" w:hAnsi="Arial" w:hint="cs"/>
          <w:iCs/>
          <w:color w:val="2F5496"/>
          <w:sz w:val="22"/>
          <w:szCs w:val="22"/>
          <w:rtl/>
        </w:rPr>
        <w:t>مكونات الحركة فقط</w:t>
      </w:r>
    </w:p>
    <w:p w14:paraId="600E1506" w14:textId="77777777" w:rsidR="00B25F0A" w:rsidRPr="00120AF5" w:rsidRDefault="00B25F0A" w:rsidP="00B25F0A">
      <w:pPr>
        <w:pStyle w:val="Indent1"/>
        <w:ind w:left="0" w:firstLine="0"/>
        <w:rPr>
          <w:rFonts w:ascii="Arial" w:hAnsi="Arial" w:cs="Arial"/>
          <w:sz w:val="22"/>
          <w:szCs w:val="22"/>
          <w:lang w:val="en-US"/>
        </w:rPr>
      </w:pPr>
    </w:p>
    <w:p w14:paraId="17497C38" w14:textId="77777777" w:rsidR="00B25F0A" w:rsidRPr="00B21EBB" w:rsidRDefault="00B25F0A" w:rsidP="00B25F0A">
      <w:pPr>
        <w:pStyle w:val="Indent1"/>
        <w:bidi/>
        <w:rPr>
          <w:rFonts w:ascii="Arial" w:hAnsi="Arial" w:cs="Arial"/>
          <w:bCs/>
          <w:sz w:val="22"/>
          <w:szCs w:val="22"/>
          <w:rtl/>
        </w:rPr>
      </w:pPr>
      <w:r w:rsidRPr="00B21EBB">
        <w:rPr>
          <w:rFonts w:ascii="Arial" w:hAnsi="Arial" w:hint="cs"/>
          <w:bCs/>
          <w:sz w:val="22"/>
          <w:szCs w:val="22"/>
          <w:rtl/>
        </w:rPr>
        <w:t xml:space="preserve">موضوع/مواضيع المؤتمر الدولي المتعلقة بهذا التعهد:  </w:t>
      </w:r>
    </w:p>
    <w:p w14:paraId="792F3F8A" w14:textId="77777777" w:rsidR="00B25F0A" w:rsidRPr="00B21EBB" w:rsidRDefault="00B25F0A" w:rsidP="00B25F0A">
      <w:pPr>
        <w:pStyle w:val="MediumGrid1-Accent21"/>
        <w:bidi/>
        <w:spacing w:after="0" w:line="240" w:lineRule="auto"/>
        <w:ind w:left="0"/>
        <w:jc w:val="both"/>
        <w:rPr>
          <w:rFonts w:ascii="Arial" w:hAnsi="Arial"/>
          <w:iCs/>
          <w:color w:val="2F5496"/>
          <w:rtl/>
        </w:rPr>
      </w:pPr>
      <w:r w:rsidRPr="00B21EBB">
        <w:rPr>
          <w:rFonts w:ascii="Arial" w:hAnsi="Arial" w:hint="cs"/>
          <w:iCs/>
          <w:color w:val="2F5496"/>
          <w:rtl/>
        </w:rPr>
        <w:t>مواطن الضعف المتغيرة والثقة في العمل الإنساني</w:t>
      </w:r>
    </w:p>
    <w:p w14:paraId="24A5911D" w14:textId="77777777" w:rsidR="00B25F0A" w:rsidRPr="00120AF5" w:rsidRDefault="00B25F0A" w:rsidP="00B25F0A">
      <w:pPr>
        <w:pStyle w:val="Indent1"/>
        <w:ind w:left="0" w:firstLine="0"/>
        <w:rPr>
          <w:rFonts w:ascii="Arial" w:hAnsi="Arial"/>
          <w:highlight w:val="yellow"/>
          <w:lang w:val="en-US"/>
        </w:rPr>
      </w:pPr>
    </w:p>
    <w:p w14:paraId="7EBCC24C" w14:textId="77777777" w:rsidR="00B25F0A" w:rsidRPr="00B21EBB" w:rsidRDefault="00B25F0A" w:rsidP="00B25F0A">
      <w:pPr>
        <w:pStyle w:val="Indent1"/>
        <w:bidi/>
        <w:ind w:left="0" w:firstLine="0"/>
        <w:rPr>
          <w:rFonts w:ascii="Arial" w:hAnsi="Arial" w:cs="Arial"/>
          <w:bCs/>
          <w:sz w:val="22"/>
          <w:szCs w:val="22"/>
          <w:rtl/>
        </w:rPr>
      </w:pPr>
      <w:r w:rsidRPr="00B21EBB">
        <w:rPr>
          <w:rFonts w:ascii="Arial" w:hAnsi="Arial" w:hint="cs"/>
          <w:bCs/>
          <w:sz w:val="22"/>
          <w:szCs w:val="22"/>
          <w:rtl/>
        </w:rPr>
        <w:t>تعهد للفترة 2019-2023:</w:t>
      </w:r>
    </w:p>
    <w:p w14:paraId="2A76E9BA" w14:textId="77777777" w:rsidR="00B25F0A" w:rsidRPr="00AA70CC" w:rsidRDefault="00B25F0A" w:rsidP="00B25F0A">
      <w:pPr>
        <w:overflowPunct/>
        <w:autoSpaceDE/>
        <w:autoSpaceDN/>
        <w:bidi/>
        <w:adjustRightInd/>
        <w:contextualSpacing/>
        <w:jc w:val="both"/>
        <w:textAlignment w:val="auto"/>
        <w:rPr>
          <w:rFonts w:ascii="Arial" w:eastAsia="Calibri" w:hAnsi="Arial" w:cs="Arial"/>
          <w:color w:val="2F5496"/>
          <w:sz w:val="22"/>
          <w:szCs w:val="22"/>
          <w:rtl/>
        </w:rPr>
      </w:pPr>
    </w:p>
    <w:p w14:paraId="2EF151D3" w14:textId="77777777" w:rsidR="00B25F0A" w:rsidRPr="00B21EBB" w:rsidRDefault="00B25F0A" w:rsidP="00B25F0A">
      <w:pPr>
        <w:overflowPunct/>
        <w:autoSpaceDE/>
        <w:autoSpaceDN/>
        <w:bidi/>
        <w:adjustRightInd/>
        <w:contextualSpacing/>
        <w:jc w:val="both"/>
        <w:textAlignment w:val="auto"/>
        <w:rPr>
          <w:rFonts w:ascii="Arial" w:hAnsi="Arial"/>
          <w:color w:val="2F5496"/>
          <w:sz w:val="22"/>
          <w:szCs w:val="22"/>
          <w:rtl/>
        </w:rPr>
      </w:pPr>
      <w:r>
        <w:rPr>
          <w:rFonts w:ascii="Arial" w:hAnsi="Arial" w:hint="cs"/>
          <w:color w:val="2F5496"/>
          <w:sz w:val="22"/>
          <w:szCs w:val="22"/>
          <w:rtl/>
        </w:rPr>
        <w:t xml:space="preserve"> يُمثل المتطوعون القلب النابض لحركة الصليب الأحمر والهلال الأحمر، ولا يُمكن أن تنجح الحركة في مهتمها إلا بضمان سلامتهم وأمنهم ورفاههم. ولكن سلطت إحدى الأبحاث التي أجراها الاتحاد الدولي الضوء على الفجوات التي تشوب دعمنا للمتطوعين في العمل الإنساني حين يواجهون المخاطر وهم يعملون في بيئات تتفاقم هشاشتها وفي حالات طوارئ تزداد تعقيدا ونزاعات طال أمدها.  ومن بين هذه المخاطر تعرض المتطوعين للوصم وللخطر وصعوبة الحصول على المُعدات والتدريبات اللازمة، والشعور بالتوتر النفسي وضعف التأمين الصحي عموما وانخفاض معدلات التغطية الاجتماعية الأخرى. وفي عام 2015، حدّد المؤتمر الدولي الثاني والثلاثون في قراره رقم 5 هذه المشاكل ونصّ على التزامات قطعتها الدول والأطراف الفاعلة في الحركة تقضي باتخاذ التدابير اللازمة لحلها.</w:t>
      </w:r>
    </w:p>
    <w:p w14:paraId="7ADCC98A" w14:textId="77777777" w:rsidR="00B25F0A" w:rsidRDefault="00B25F0A" w:rsidP="00B25F0A">
      <w:pPr>
        <w:overflowPunct/>
        <w:autoSpaceDE/>
        <w:autoSpaceDN/>
        <w:adjustRightInd/>
        <w:contextualSpacing/>
        <w:jc w:val="both"/>
        <w:textAlignment w:val="auto"/>
        <w:rPr>
          <w:rFonts w:ascii="Arial" w:eastAsia="Calibri" w:hAnsi="Arial" w:cs="Arial"/>
          <w:color w:val="2F5496"/>
          <w:sz w:val="22"/>
          <w:szCs w:val="22"/>
          <w:lang w:val="en-US"/>
        </w:rPr>
      </w:pPr>
    </w:p>
    <w:p w14:paraId="032CB4B0" w14:textId="77777777" w:rsidR="00B25F0A" w:rsidRPr="00AA70CC" w:rsidRDefault="00B25F0A" w:rsidP="00B25F0A">
      <w:pPr>
        <w:overflowPunct/>
        <w:autoSpaceDE/>
        <w:autoSpaceDN/>
        <w:bidi/>
        <w:adjustRightInd/>
        <w:contextualSpacing/>
        <w:jc w:val="both"/>
        <w:textAlignment w:val="auto"/>
        <w:rPr>
          <w:rFonts w:ascii="Arial" w:eastAsia="Calibri" w:hAnsi="Arial" w:cs="Arial"/>
          <w:color w:val="2F5496"/>
          <w:sz w:val="22"/>
          <w:szCs w:val="22"/>
          <w:rtl/>
        </w:rPr>
      </w:pPr>
      <w:r>
        <w:rPr>
          <w:rFonts w:ascii="Arial" w:hAnsi="Arial" w:hint="cs"/>
          <w:color w:val="2F5496"/>
          <w:sz w:val="22"/>
          <w:szCs w:val="22"/>
          <w:rtl/>
        </w:rPr>
        <w:t xml:space="preserve">ويُكرّس هذا التعهد الالتزامات المنصوص عليها في القرار رقم 5 لضمان سلامة المتطوعين وأمنهم ورفاههم ولضمان اتخاذ التدابير المناسبة لجبر ضرر المتطوعين (أو أُسرهم) في حال تعرضوا للإصابة أو وافتهم المنيّة أثناء أداء واجبهم التطوعي.  وفيما يتعلق بهذه المسألة، يتعيّن ابتكار حل على المستوى العالمي لسد الثغرات التي لا يُمكن تفاديها على مستوى التغطية الاجتماعية حين تفتقر الجمعيات الوطنية إلى الوسائل اللازمة لتوفير هذه التغطية. وكان الاتحاد الدولي قد توصل إلى حل بالتعاون مع القطاع الخاص عن طريق إبرام عقد مع شركة تأمين عالمية ولكن تبيّن أنه من الصعب أن يضمن هذا الحل تغطية كافية وفي الوقت المُحدّد.  </w:t>
      </w:r>
    </w:p>
    <w:p w14:paraId="651C79A9" w14:textId="77777777" w:rsidR="00B25F0A" w:rsidRDefault="00B25F0A" w:rsidP="00B25F0A">
      <w:pPr>
        <w:overflowPunct/>
        <w:autoSpaceDE/>
        <w:autoSpaceDN/>
        <w:adjustRightInd/>
        <w:contextualSpacing/>
        <w:jc w:val="both"/>
        <w:textAlignment w:val="auto"/>
        <w:rPr>
          <w:rFonts w:ascii="Arial" w:eastAsia="Calibri" w:hAnsi="Arial" w:cs="Arial"/>
          <w:color w:val="2F5496"/>
          <w:sz w:val="22"/>
          <w:szCs w:val="22"/>
          <w:lang w:val="en-US"/>
        </w:rPr>
      </w:pPr>
    </w:p>
    <w:p w14:paraId="10742B4E" w14:textId="77777777" w:rsidR="00B25F0A" w:rsidRPr="003F165C" w:rsidRDefault="00B25F0A" w:rsidP="00B25F0A">
      <w:pPr>
        <w:overflowPunct/>
        <w:autoSpaceDE/>
        <w:autoSpaceDN/>
        <w:bidi/>
        <w:adjustRightInd/>
        <w:contextualSpacing/>
        <w:jc w:val="both"/>
        <w:textAlignment w:val="auto"/>
        <w:rPr>
          <w:rFonts w:ascii="Arial" w:eastAsia="Calibri" w:hAnsi="Arial" w:cs="Arial"/>
          <w:b/>
          <w:bCs/>
          <w:sz w:val="22"/>
          <w:szCs w:val="22"/>
          <w:rtl/>
        </w:rPr>
      </w:pPr>
      <w:r>
        <w:rPr>
          <w:rFonts w:ascii="Arial" w:hAnsi="Arial" w:hint="cs"/>
          <w:b/>
          <w:bCs/>
          <w:sz w:val="22"/>
          <w:szCs w:val="22"/>
          <w:rtl/>
        </w:rPr>
        <w:t>خطة العمل:</w:t>
      </w:r>
    </w:p>
    <w:p w14:paraId="53AE10D3" w14:textId="77777777" w:rsidR="00B25F0A" w:rsidRPr="00AA70CC" w:rsidRDefault="00B25F0A" w:rsidP="00B25F0A">
      <w:pPr>
        <w:pStyle w:val="CommentText"/>
        <w:jc w:val="both"/>
        <w:rPr>
          <w:rFonts w:ascii="Arial" w:hAnsi="Arial" w:cs="Arial"/>
          <w:color w:val="2F5496"/>
          <w:sz w:val="22"/>
          <w:szCs w:val="22"/>
        </w:rPr>
      </w:pPr>
    </w:p>
    <w:p w14:paraId="57C83F0D" w14:textId="77777777" w:rsidR="00B25F0A" w:rsidRPr="00AA70CC" w:rsidRDefault="00B25F0A" w:rsidP="00B25F0A">
      <w:pPr>
        <w:pBdr>
          <w:top w:val="nil"/>
          <w:left w:val="nil"/>
          <w:bottom w:val="nil"/>
          <w:right w:val="nil"/>
          <w:between w:val="nil"/>
        </w:pBdr>
        <w:bidi/>
        <w:spacing w:line="276" w:lineRule="auto"/>
        <w:contextualSpacing/>
        <w:jc w:val="both"/>
        <w:rPr>
          <w:rFonts w:ascii="Arial" w:hAnsi="Arial" w:cs="Arial"/>
          <w:color w:val="2F5496"/>
          <w:sz w:val="22"/>
          <w:szCs w:val="22"/>
          <w:rtl/>
        </w:rPr>
      </w:pPr>
      <w:r>
        <w:rPr>
          <w:rFonts w:ascii="Arial" w:hAnsi="Arial" w:hint="cs"/>
          <w:color w:val="2F5496"/>
          <w:sz w:val="22"/>
          <w:szCs w:val="22"/>
          <w:rtl/>
        </w:rPr>
        <w:t>نتعهد بما يلي:</w:t>
      </w:r>
    </w:p>
    <w:p w14:paraId="3827ABBE" w14:textId="77777777" w:rsidR="00B25F0A" w:rsidRPr="00AA70CC" w:rsidRDefault="00B25F0A" w:rsidP="00B25F0A">
      <w:pPr>
        <w:pStyle w:val="ListParagraph"/>
        <w:numPr>
          <w:ilvl w:val="0"/>
          <w:numId w:val="38"/>
        </w:numPr>
        <w:bidi/>
        <w:spacing w:after="160" w:line="259" w:lineRule="auto"/>
        <w:jc w:val="both"/>
        <w:rPr>
          <w:rFonts w:ascii="Arial" w:hAnsi="Arial" w:cs="Arial"/>
          <w:color w:val="2F5496"/>
          <w:sz w:val="22"/>
          <w:szCs w:val="22"/>
          <w:rtl/>
        </w:rPr>
      </w:pPr>
      <w:r>
        <w:rPr>
          <w:rFonts w:ascii="Arial" w:hAnsi="Arial" w:hint="cs"/>
          <w:color w:val="2F5496"/>
          <w:sz w:val="22"/>
          <w:szCs w:val="22"/>
          <w:rtl/>
        </w:rPr>
        <w:t>تخصيص الموارد الكافية والتي يُمكن التنبؤ بها من أجل سلامة المتطوعين وأمنهم ورفاههم.</w:t>
      </w:r>
    </w:p>
    <w:p w14:paraId="64F45F94" w14:textId="77777777" w:rsidR="00B25F0A" w:rsidRDefault="00B25F0A" w:rsidP="00B25F0A">
      <w:pPr>
        <w:pStyle w:val="ListParagraph"/>
        <w:numPr>
          <w:ilvl w:val="0"/>
          <w:numId w:val="38"/>
        </w:numPr>
        <w:bidi/>
        <w:spacing w:after="160" w:line="259" w:lineRule="auto"/>
        <w:jc w:val="both"/>
        <w:rPr>
          <w:rFonts w:ascii="Arial" w:hAnsi="Arial" w:cs="Arial"/>
          <w:color w:val="2F5496"/>
          <w:sz w:val="22"/>
          <w:szCs w:val="22"/>
          <w:rtl/>
        </w:rPr>
      </w:pPr>
      <w:r>
        <w:rPr>
          <w:rFonts w:ascii="Arial" w:hAnsi="Arial" w:hint="cs"/>
          <w:color w:val="2F5496"/>
          <w:sz w:val="22"/>
          <w:szCs w:val="22"/>
          <w:rtl/>
        </w:rPr>
        <w:t>التعاون المتبادل للنظر في إمكانية إنشاء صندوق عالمي للتضامن لمتطوعي الصليب الأحمر والهلال الأحمر في حالة وفاتهم أو تعرضهم لإصابة أثناء أداء واجبهم في الأماكن التي تفتقر للتغطية الكافية لتأمينهم.</w:t>
      </w:r>
    </w:p>
    <w:p w14:paraId="0E039C84" w14:textId="77777777" w:rsidR="00B25F0A" w:rsidRPr="00AA70CC" w:rsidRDefault="00B25F0A" w:rsidP="00B25F0A">
      <w:pPr>
        <w:pStyle w:val="ListParagraph"/>
        <w:numPr>
          <w:ilvl w:val="0"/>
          <w:numId w:val="38"/>
        </w:numPr>
        <w:autoSpaceDE w:val="0"/>
        <w:autoSpaceDN w:val="0"/>
        <w:bidi/>
        <w:adjustRightInd w:val="0"/>
        <w:jc w:val="both"/>
        <w:rPr>
          <w:rFonts w:ascii="Arial" w:hAnsi="Arial" w:cs="Arial"/>
          <w:color w:val="2F5496"/>
          <w:sz w:val="22"/>
          <w:szCs w:val="22"/>
          <w:rtl/>
        </w:rPr>
      </w:pPr>
      <w:r>
        <w:rPr>
          <w:rFonts w:ascii="Arial" w:hAnsi="Arial" w:hint="cs"/>
          <w:color w:val="2F5496"/>
          <w:sz w:val="22"/>
          <w:szCs w:val="22"/>
          <w:rtl/>
        </w:rPr>
        <w:t>تعزيز الجهود الراهنة التي تهدف إلى مدّ المتطوعين بما يحتاجونه من معلومات وتدريب ومعدات واقية ودعم نفسي واجتماعي لضمان سلامتهم وأمنهم.</w:t>
      </w:r>
    </w:p>
    <w:p w14:paraId="3B982F12" w14:textId="77777777" w:rsidR="00B25F0A" w:rsidRPr="00120AF5" w:rsidRDefault="00B25F0A" w:rsidP="00B25F0A">
      <w:pPr>
        <w:pStyle w:val="Indent1"/>
        <w:tabs>
          <w:tab w:val="clear" w:pos="396"/>
        </w:tabs>
        <w:ind w:left="0" w:firstLine="0"/>
        <w:rPr>
          <w:rFonts w:ascii="Arial" w:hAnsi="Arial" w:cs="Arial"/>
          <w:i/>
          <w:color w:val="2F5496"/>
          <w:sz w:val="22"/>
          <w:szCs w:val="22"/>
          <w:lang w:val="en-US"/>
        </w:rPr>
      </w:pPr>
    </w:p>
    <w:p w14:paraId="5852AB71" w14:textId="77777777" w:rsidR="00B25F0A" w:rsidRPr="003F165C" w:rsidRDefault="00B25F0A" w:rsidP="00B25F0A">
      <w:pPr>
        <w:overflowPunct/>
        <w:autoSpaceDE/>
        <w:autoSpaceDN/>
        <w:bidi/>
        <w:adjustRightInd/>
        <w:contextualSpacing/>
        <w:jc w:val="both"/>
        <w:textAlignment w:val="auto"/>
        <w:rPr>
          <w:rFonts w:ascii="Arial" w:eastAsia="Calibri" w:hAnsi="Arial" w:cs="Arial"/>
          <w:b/>
          <w:bCs/>
          <w:sz w:val="22"/>
          <w:szCs w:val="22"/>
          <w:rtl/>
        </w:rPr>
      </w:pPr>
      <w:r>
        <w:rPr>
          <w:rFonts w:ascii="Arial" w:hAnsi="Arial" w:hint="cs"/>
          <w:b/>
          <w:bCs/>
          <w:sz w:val="22"/>
          <w:szCs w:val="22"/>
          <w:rtl/>
        </w:rPr>
        <w:t>التبعات المالية:</w:t>
      </w:r>
    </w:p>
    <w:p w14:paraId="7687E916" w14:textId="77777777" w:rsidR="00B25F0A" w:rsidRDefault="00B25F0A" w:rsidP="00B25F0A">
      <w:pPr>
        <w:overflowPunct/>
        <w:autoSpaceDE/>
        <w:autoSpaceDN/>
        <w:adjustRightInd/>
        <w:contextualSpacing/>
        <w:jc w:val="both"/>
        <w:textAlignment w:val="auto"/>
        <w:rPr>
          <w:rFonts w:ascii="Arial" w:eastAsia="Calibri" w:hAnsi="Arial" w:cs="Arial"/>
          <w:color w:val="2F5496"/>
          <w:sz w:val="22"/>
          <w:szCs w:val="22"/>
          <w:lang w:val="en-US"/>
        </w:rPr>
      </w:pPr>
    </w:p>
    <w:p w14:paraId="5705E56E" w14:textId="77777777" w:rsidR="00B25F0A" w:rsidRPr="00AA70CC" w:rsidRDefault="00B25F0A" w:rsidP="00B25F0A">
      <w:pPr>
        <w:overflowPunct/>
        <w:autoSpaceDE/>
        <w:autoSpaceDN/>
        <w:bidi/>
        <w:adjustRightInd/>
        <w:contextualSpacing/>
        <w:jc w:val="both"/>
        <w:textAlignment w:val="auto"/>
        <w:rPr>
          <w:rFonts w:ascii="Arial" w:eastAsia="Calibri" w:hAnsi="Arial" w:cs="Arial"/>
          <w:color w:val="2F5496"/>
          <w:sz w:val="22"/>
          <w:szCs w:val="22"/>
          <w:rtl/>
        </w:rPr>
      </w:pPr>
      <w:r>
        <w:rPr>
          <w:rFonts w:ascii="Arial" w:hAnsi="Arial" w:hint="cs"/>
          <w:color w:val="2F5496"/>
          <w:sz w:val="22"/>
          <w:szCs w:val="22"/>
          <w:rtl/>
        </w:rPr>
        <w:t>من المتوقع أن يُكلّف إنشاء الصندوق الجديد للتضامن 200,000 فرنك سويسري على الأقل. ويشمل هذا المبلغ تكاليف إنشاء صندوق التضامن (بما في ذلك أجر الموظفين الذين سيعملون فيه) ورأس المال المبدئي للعام الأول من أجل تسديد المبالغ وفقا للمطالب.</w:t>
      </w:r>
    </w:p>
    <w:p w14:paraId="547B9607" w14:textId="77777777" w:rsidR="00AD5B14" w:rsidRPr="00B25F0A" w:rsidRDefault="00AD5B14" w:rsidP="00C90408">
      <w:pPr>
        <w:overflowPunct/>
        <w:autoSpaceDE/>
        <w:autoSpaceDN/>
        <w:adjustRightInd/>
        <w:contextualSpacing/>
        <w:jc w:val="both"/>
        <w:textAlignment w:val="auto"/>
        <w:rPr>
          <w:rFonts w:ascii="Arial" w:eastAsia="Calibri" w:hAnsi="Arial" w:cs="Arial"/>
          <w:color w:val="2F5496"/>
          <w:sz w:val="22"/>
          <w:szCs w:val="22"/>
          <w:lang w:val="en-US"/>
        </w:rPr>
      </w:pPr>
      <w:bookmarkStart w:id="3" w:name="_GoBack"/>
      <w:bookmarkEnd w:id="3"/>
    </w:p>
    <w:sectPr w:rsidR="00AD5B14" w:rsidRPr="00B25F0A" w:rsidSect="009C675B">
      <w:headerReference w:type="even" r:id="rId15"/>
      <w:headerReference w:type="default" r:id="rId16"/>
      <w:footerReference w:type="even" r:id="rId17"/>
      <w:footerReference w:type="default" r:id="rId18"/>
      <w:headerReference w:type="first" r:id="rId19"/>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2B120" w14:textId="77777777" w:rsidR="00CD50C7" w:rsidRDefault="00CD50C7">
      <w:r>
        <w:separator/>
      </w:r>
    </w:p>
  </w:endnote>
  <w:endnote w:type="continuationSeparator" w:id="0">
    <w:p w14:paraId="410D5F12" w14:textId="77777777" w:rsidR="00CD50C7" w:rsidRDefault="00CD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D7E1" w14:textId="77777777" w:rsidR="009C675B" w:rsidRDefault="009C6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7B305" w14:textId="77777777" w:rsidR="009C675B" w:rsidRDefault="009C6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E3AD" w14:textId="77777777" w:rsidR="009C675B" w:rsidRDefault="009C6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15B5" w14:textId="77777777" w:rsidR="00CD50C7" w:rsidRDefault="00CD50C7">
      <w:r>
        <w:separator/>
      </w:r>
    </w:p>
  </w:footnote>
  <w:footnote w:type="continuationSeparator" w:id="0">
    <w:p w14:paraId="7A429204" w14:textId="77777777" w:rsidR="00CD50C7" w:rsidRDefault="00CD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2DED" w14:textId="77777777" w:rsidR="009C675B" w:rsidRDefault="009C675B"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69E5D" w14:textId="77777777" w:rsidR="009C675B" w:rsidRDefault="009C675B"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B32C" w14:textId="77777777" w:rsidR="009C675B" w:rsidRDefault="009C675B"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AFE">
      <w:rPr>
        <w:rStyle w:val="PageNumber"/>
        <w:noProof/>
      </w:rPr>
      <w:t>2</w:t>
    </w:r>
    <w:r>
      <w:rPr>
        <w:rStyle w:val="PageNumber"/>
      </w:rPr>
      <w:fldChar w:fldCharType="end"/>
    </w:r>
  </w:p>
  <w:p w14:paraId="24438BC8" w14:textId="77777777" w:rsidR="009C675B" w:rsidRDefault="009C675B" w:rsidP="009C67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1943" w14:textId="79D05C74" w:rsidR="009C675B" w:rsidRPr="00B94B1E" w:rsidRDefault="009C675B" w:rsidP="0078454C">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4"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5"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7"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9"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1"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5"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6"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50C90397"/>
    <w:multiLevelType w:val="hybridMultilevel"/>
    <w:tmpl w:val="9DFE8DC4"/>
    <w:lvl w:ilvl="0" w:tplc="EEFA97A2">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2"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3" w15:restartNumberingAfterBreak="0">
    <w:nsid w:val="5ABE614D"/>
    <w:multiLevelType w:val="hybridMultilevel"/>
    <w:tmpl w:val="D12ABDEE"/>
    <w:lvl w:ilvl="0" w:tplc="F17830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25"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1"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3"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4"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5"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7"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6"/>
  </w:num>
  <w:num w:numId="3">
    <w:abstractNumId w:val="22"/>
  </w:num>
  <w:num w:numId="4">
    <w:abstractNumId w:val="36"/>
  </w:num>
  <w:num w:numId="5">
    <w:abstractNumId w:val="15"/>
  </w:num>
  <w:num w:numId="6">
    <w:abstractNumId w:val="31"/>
  </w:num>
  <w:num w:numId="7">
    <w:abstractNumId w:val="35"/>
  </w:num>
  <w:num w:numId="8">
    <w:abstractNumId w:val="4"/>
  </w:num>
  <w:num w:numId="9">
    <w:abstractNumId w:val="9"/>
  </w:num>
  <w:num w:numId="10">
    <w:abstractNumId w:val="2"/>
  </w:num>
  <w:num w:numId="11">
    <w:abstractNumId w:val="11"/>
  </w:num>
  <w:num w:numId="12">
    <w:abstractNumId w:val="27"/>
  </w:num>
  <w:num w:numId="13">
    <w:abstractNumId w:val="8"/>
  </w:num>
  <w:num w:numId="14">
    <w:abstractNumId w:val="19"/>
  </w:num>
  <w:num w:numId="15">
    <w:abstractNumId w:val="17"/>
  </w:num>
  <w:num w:numId="16">
    <w:abstractNumId w:val="14"/>
  </w:num>
  <w:num w:numId="17">
    <w:abstractNumId w:val="32"/>
  </w:num>
  <w:num w:numId="18">
    <w:abstractNumId w:val="21"/>
  </w:num>
  <w:num w:numId="19">
    <w:abstractNumId w:val="34"/>
  </w:num>
  <w:num w:numId="20">
    <w:abstractNumId w:val="30"/>
  </w:num>
  <w:num w:numId="21">
    <w:abstractNumId w:val="10"/>
  </w:num>
  <w:num w:numId="22">
    <w:abstractNumId w:val="25"/>
  </w:num>
  <w:num w:numId="23">
    <w:abstractNumId w:val="12"/>
  </w:num>
  <w:num w:numId="24">
    <w:abstractNumId w:val="1"/>
  </w:num>
  <w:num w:numId="25">
    <w:abstractNumId w:val="13"/>
  </w:num>
  <w:num w:numId="26">
    <w:abstractNumId w:val="26"/>
  </w:num>
  <w:num w:numId="27">
    <w:abstractNumId w:val="18"/>
  </w:num>
  <w:num w:numId="28">
    <w:abstractNumId w:val="5"/>
  </w:num>
  <w:num w:numId="29">
    <w:abstractNumId w:val="16"/>
  </w:num>
  <w:num w:numId="30">
    <w:abstractNumId w:val="24"/>
  </w:num>
  <w:num w:numId="31">
    <w:abstractNumId w:val="29"/>
  </w:num>
  <w:num w:numId="32">
    <w:abstractNumId w:val="0"/>
  </w:num>
  <w:num w:numId="33">
    <w:abstractNumId w:val="7"/>
  </w:num>
  <w:num w:numId="34">
    <w:abstractNumId w:val="3"/>
  </w:num>
  <w:num w:numId="35">
    <w:abstractNumId w:val="28"/>
  </w:num>
  <w:num w:numId="36">
    <w:abstractNumId w:val="37"/>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3866"/>
    <w:rsid w:val="00042071"/>
    <w:rsid w:val="00042235"/>
    <w:rsid w:val="000862C3"/>
    <w:rsid w:val="000A0AC6"/>
    <w:rsid w:val="000B570F"/>
    <w:rsid w:val="000C5CDA"/>
    <w:rsid w:val="000D7C77"/>
    <w:rsid w:val="000E3B54"/>
    <w:rsid w:val="00100AE9"/>
    <w:rsid w:val="001054E0"/>
    <w:rsid w:val="00120AF5"/>
    <w:rsid w:val="00134AA6"/>
    <w:rsid w:val="0014607D"/>
    <w:rsid w:val="0016433A"/>
    <w:rsid w:val="00171276"/>
    <w:rsid w:val="0017245A"/>
    <w:rsid w:val="001819BB"/>
    <w:rsid w:val="00186CDE"/>
    <w:rsid w:val="00187F8D"/>
    <w:rsid w:val="001A42DA"/>
    <w:rsid w:val="001C641B"/>
    <w:rsid w:val="00217F40"/>
    <w:rsid w:val="002240F6"/>
    <w:rsid w:val="00235B2E"/>
    <w:rsid w:val="00240F0B"/>
    <w:rsid w:val="002515BF"/>
    <w:rsid w:val="00253BBB"/>
    <w:rsid w:val="00264B20"/>
    <w:rsid w:val="002777F0"/>
    <w:rsid w:val="00283931"/>
    <w:rsid w:val="002C3973"/>
    <w:rsid w:val="002E2158"/>
    <w:rsid w:val="002F178A"/>
    <w:rsid w:val="00303B7C"/>
    <w:rsid w:val="00307C07"/>
    <w:rsid w:val="00320EDB"/>
    <w:rsid w:val="003434D3"/>
    <w:rsid w:val="003A1933"/>
    <w:rsid w:val="003A1C81"/>
    <w:rsid w:val="003B29F8"/>
    <w:rsid w:val="003B2B8F"/>
    <w:rsid w:val="003F165C"/>
    <w:rsid w:val="003F7335"/>
    <w:rsid w:val="004072D5"/>
    <w:rsid w:val="00427FFE"/>
    <w:rsid w:val="004345C3"/>
    <w:rsid w:val="00443BCA"/>
    <w:rsid w:val="004564CF"/>
    <w:rsid w:val="004569CA"/>
    <w:rsid w:val="004612B4"/>
    <w:rsid w:val="00466D9B"/>
    <w:rsid w:val="004850D8"/>
    <w:rsid w:val="0048627B"/>
    <w:rsid w:val="004926E1"/>
    <w:rsid w:val="0049429A"/>
    <w:rsid w:val="004A0C45"/>
    <w:rsid w:val="004A28E3"/>
    <w:rsid w:val="004A5908"/>
    <w:rsid w:val="004B57A3"/>
    <w:rsid w:val="004B65F6"/>
    <w:rsid w:val="004C26D6"/>
    <w:rsid w:val="004D7259"/>
    <w:rsid w:val="0051604E"/>
    <w:rsid w:val="00522F83"/>
    <w:rsid w:val="00527B62"/>
    <w:rsid w:val="00547A29"/>
    <w:rsid w:val="005510BE"/>
    <w:rsid w:val="0056111A"/>
    <w:rsid w:val="005A7BF1"/>
    <w:rsid w:val="005C678A"/>
    <w:rsid w:val="005C773D"/>
    <w:rsid w:val="005E2716"/>
    <w:rsid w:val="00606DDF"/>
    <w:rsid w:val="00623E54"/>
    <w:rsid w:val="00627A57"/>
    <w:rsid w:val="00627A5D"/>
    <w:rsid w:val="00650B4D"/>
    <w:rsid w:val="00665B93"/>
    <w:rsid w:val="006734DD"/>
    <w:rsid w:val="00673B46"/>
    <w:rsid w:val="00676FE6"/>
    <w:rsid w:val="00677278"/>
    <w:rsid w:val="006928CE"/>
    <w:rsid w:val="006A649C"/>
    <w:rsid w:val="006A7C80"/>
    <w:rsid w:val="006B2101"/>
    <w:rsid w:val="006D3D87"/>
    <w:rsid w:val="006D5A1B"/>
    <w:rsid w:val="006F3882"/>
    <w:rsid w:val="00716AFE"/>
    <w:rsid w:val="00736829"/>
    <w:rsid w:val="00746C03"/>
    <w:rsid w:val="00766A1F"/>
    <w:rsid w:val="0078454C"/>
    <w:rsid w:val="007A09ED"/>
    <w:rsid w:val="007A3AB2"/>
    <w:rsid w:val="007A71D0"/>
    <w:rsid w:val="007C701D"/>
    <w:rsid w:val="007F3540"/>
    <w:rsid w:val="007F6BDD"/>
    <w:rsid w:val="00825A79"/>
    <w:rsid w:val="00837007"/>
    <w:rsid w:val="0087788E"/>
    <w:rsid w:val="00880102"/>
    <w:rsid w:val="008A2DE0"/>
    <w:rsid w:val="008C184A"/>
    <w:rsid w:val="008E2561"/>
    <w:rsid w:val="008E5896"/>
    <w:rsid w:val="008F32D9"/>
    <w:rsid w:val="0091148E"/>
    <w:rsid w:val="00917265"/>
    <w:rsid w:val="00951046"/>
    <w:rsid w:val="009729E9"/>
    <w:rsid w:val="00980B9C"/>
    <w:rsid w:val="009945D1"/>
    <w:rsid w:val="009A7948"/>
    <w:rsid w:val="009C4192"/>
    <w:rsid w:val="009C675B"/>
    <w:rsid w:val="009E65C4"/>
    <w:rsid w:val="00A44C30"/>
    <w:rsid w:val="00A5183B"/>
    <w:rsid w:val="00A52FC4"/>
    <w:rsid w:val="00A64C79"/>
    <w:rsid w:val="00A85B12"/>
    <w:rsid w:val="00AA70CC"/>
    <w:rsid w:val="00AD5B14"/>
    <w:rsid w:val="00AE1CCE"/>
    <w:rsid w:val="00B25F0A"/>
    <w:rsid w:val="00B552E9"/>
    <w:rsid w:val="00B64D92"/>
    <w:rsid w:val="00B704DB"/>
    <w:rsid w:val="00B7106A"/>
    <w:rsid w:val="00B75D94"/>
    <w:rsid w:val="00B76689"/>
    <w:rsid w:val="00B768AD"/>
    <w:rsid w:val="00B94B1E"/>
    <w:rsid w:val="00BA4C9D"/>
    <w:rsid w:val="00BD24E6"/>
    <w:rsid w:val="00BD6C3D"/>
    <w:rsid w:val="00BE4401"/>
    <w:rsid w:val="00BF1384"/>
    <w:rsid w:val="00BF2EAE"/>
    <w:rsid w:val="00BF4E94"/>
    <w:rsid w:val="00C01283"/>
    <w:rsid w:val="00C146FA"/>
    <w:rsid w:val="00C27670"/>
    <w:rsid w:val="00C308C7"/>
    <w:rsid w:val="00C37728"/>
    <w:rsid w:val="00C40E90"/>
    <w:rsid w:val="00C75351"/>
    <w:rsid w:val="00C86E4B"/>
    <w:rsid w:val="00C90408"/>
    <w:rsid w:val="00CA01F8"/>
    <w:rsid w:val="00CD21F0"/>
    <w:rsid w:val="00CD50C7"/>
    <w:rsid w:val="00D50554"/>
    <w:rsid w:val="00D51317"/>
    <w:rsid w:val="00D5688C"/>
    <w:rsid w:val="00D60501"/>
    <w:rsid w:val="00D60D74"/>
    <w:rsid w:val="00D64A62"/>
    <w:rsid w:val="00D674DC"/>
    <w:rsid w:val="00D87898"/>
    <w:rsid w:val="00DA2A1E"/>
    <w:rsid w:val="00DC4590"/>
    <w:rsid w:val="00DD435A"/>
    <w:rsid w:val="00DE55F4"/>
    <w:rsid w:val="00DE5C2E"/>
    <w:rsid w:val="00E0495F"/>
    <w:rsid w:val="00E22A4E"/>
    <w:rsid w:val="00E36C28"/>
    <w:rsid w:val="00E552DB"/>
    <w:rsid w:val="00E56688"/>
    <w:rsid w:val="00E7493F"/>
    <w:rsid w:val="00E74998"/>
    <w:rsid w:val="00E76E2E"/>
    <w:rsid w:val="00E91FFC"/>
    <w:rsid w:val="00EA4FD8"/>
    <w:rsid w:val="00EA6AC7"/>
    <w:rsid w:val="00EE363D"/>
    <w:rsid w:val="00F07551"/>
    <w:rsid w:val="00F116DF"/>
    <w:rsid w:val="00F20C87"/>
    <w:rsid w:val="00F37EB0"/>
    <w:rsid w:val="00F42552"/>
    <w:rsid w:val="00F4446A"/>
    <w:rsid w:val="00F76B79"/>
    <w:rsid w:val="00F91F3F"/>
    <w:rsid w:val="00F93E15"/>
    <w:rsid w:val="00FB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54601D"/>
  <w15:chartTrackingRefBased/>
  <w15:docId w15:val="{4EEC5AD8-5484-9442-BA63-1C54B824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uiPriority w:val="99"/>
    <w:semiHidden/>
    <w:rsid w:val="00B06BA5"/>
    <w:rPr>
      <w:sz w:val="16"/>
      <w:szCs w:val="16"/>
    </w:rPr>
  </w:style>
  <w:style w:type="paragraph" w:styleId="CommentText">
    <w:name w:val="annotation text"/>
    <w:basedOn w:val="Normal"/>
    <w:link w:val="CommentTextChar"/>
    <w:uiPriority w:val="99"/>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style>
  <w:style w:type="paragraph" w:customStyle="1" w:styleId="ColorfulShading-Accent11">
    <w:name w:val="Colorful Shading - Accent 11"/>
    <w:hidden/>
    <w:uiPriority w:val="99"/>
    <w:semiHidden/>
    <w:rsid w:val="009C0D65"/>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D674DC"/>
    <w:pPr>
      <w:overflowPunct/>
      <w:autoSpaceDE/>
      <w:autoSpaceDN/>
      <w:adjustRightInd/>
      <w:ind w:left="720"/>
      <w:contextualSpacing/>
      <w:textAlignment w:val="auto"/>
    </w:pPr>
    <w:rPr>
      <w:rFonts w:eastAsia="SimSun"/>
      <w:sz w:val="24"/>
      <w:szCs w:val="24"/>
      <w:lang w:eastAsia="zh-CN"/>
    </w:rPr>
  </w:style>
  <w:style w:type="paragraph" w:styleId="Revision">
    <w:name w:val="Revision"/>
    <w:hidden/>
    <w:uiPriority w:val="99"/>
    <w:semiHidden/>
    <w:rsid w:val="00B552E9"/>
  </w:style>
  <w:style w:type="character" w:styleId="UnresolvedMention">
    <w:name w:val="Unresolved Mention"/>
    <w:uiPriority w:val="99"/>
    <w:semiHidden/>
    <w:unhideWhenUsed/>
    <w:rsid w:val="00E0495F"/>
    <w:rPr>
      <w:color w:val="605E5C"/>
      <w:shd w:val="clear" w:color="auto" w:fill="E1DFDD"/>
    </w:rPr>
  </w:style>
  <w:style w:type="character" w:customStyle="1" w:styleId="CommentTextChar">
    <w:name w:val="Comment Text Char"/>
    <w:link w:val="CommentText"/>
    <w:uiPriority w:val="99"/>
    <w:semiHidden/>
    <w:rsid w:val="004A28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CRC Document" ma:contentTypeID="0x010100F306B2604BE44180B8B82333BE64DF4E00249322B0B7298D42B36967297016BA03" ma:contentTypeVersion="13" ma:contentTypeDescription="Use it to upload a file" ma:contentTypeScope="" ma:versionID="af70497f02be4f37dc0dcb892a73527e">
  <xsd:schema xmlns:xsd="http://www.w3.org/2001/XMLSchema" xmlns:xs="http://www.w3.org/2001/XMLSchema" xmlns:p="http://schemas.microsoft.com/office/2006/metadata/properties" xmlns:ns1="http://schemas.microsoft.com/sharepoint/v3" xmlns:ns2="cb404f13-89d3-4113-a8e8-df8a09353a30" xmlns:ns3="d8ad915f-1126-446c-8030-8746dcadfaee" xmlns:ns4="http://schemas.microsoft.com/sharepoint/v4" targetNamespace="http://schemas.microsoft.com/office/2006/metadata/properties" ma:root="true" ma:fieldsID="9e80489e7427445b6bced101649f4d64" ns1:_="" ns2:_="" ns3:_="" ns4:_="">
    <xsd:import namespace="http://schemas.microsoft.com/sharepoint/v3"/>
    <xsd:import namespace="cb404f13-89d3-4113-a8e8-df8a09353a30"/>
    <xsd:import namespace="d8ad915f-1126-446c-8030-8746dcadfa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RCCountryTaxHTField0" minOccurs="0"/>
                <xsd:element ref="ns3:ICRCBizFuncTaxHTField0" minOccurs="0"/>
                <xsd:element ref="ns3:ICRCDocTypeTaxHTField0" minOccurs="0"/>
                <xsd:element ref="ns3:ICRCTargetPopTaxHTField0" minOccurs="0"/>
                <xsd:element ref="ns3:ICRCDocConfidentialityTaxHTField0" minOccurs="0"/>
                <xsd:element ref="ns3:ICRCProgramTaxHTField0" minOccurs="0"/>
                <xsd:element ref="ns3:ICRCTopicsTaxHTField0" minOccurs="0"/>
                <xsd:element ref="ns3:ICRCGOTaxHTField0" minOccurs="0"/>
                <xsd:element ref="ns3:ICRCOUTaxHTField0" minOccurs="0"/>
                <xsd:element ref="ns2: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04f13-89d3-4113-a8e8-df8a09353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c7e2b4b-9f52-48c5-bb58-a819a759125d}" ma:internalName="TaxCatchAll" ma:showField="CatchAllData" ma:web="cb404f13-89d3-4113-a8e8-df8a09353a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d915f-1126-446c-8030-8746dcadfaee" elementFormDefault="qualified">
    <xsd:import namespace="http://schemas.microsoft.com/office/2006/documentManagement/types"/>
    <xsd:import namespace="http://schemas.microsoft.com/office/infopath/2007/PartnerControls"/>
    <xsd:element name="ICRCCountryTaxHTField0" ma:index="20" nillable="true" ma:taxonomy="true" ma:internalName="ICRCCountryTaxHTField0" ma:taxonomyFieldName="ICRCCountry" ma:displayName="Country" ma:readOnly="false" ma:fieldId="{43c356ae-dbf9-4781-9db5-36f4e2c43aa5}" ma:taxonomyMulti="true" ma:sspId="063de9ae-39ed-432d-a60f-11f6e5512909" ma:termSetId="699f7bbc-9fb0-4563-b604-873963f75853" ma:anchorId="00000000-0000-0000-0000-000000000000" ma:open="false" ma:isKeyword="false">
      <xsd:complexType>
        <xsd:sequence>
          <xsd:element ref="pc:Terms" minOccurs="0" maxOccurs="1"/>
        </xsd:sequence>
      </xsd:complexType>
    </xsd:element>
    <xsd:element name="ICRCBizFuncTaxHTField0" ma:index="21" nillable="true" ma:taxonomy="true" ma:internalName="ICRCBizFuncTaxHTField0" ma:taxonomyFieldName="ICRCBizFunc" ma:displayName="Business Function" ma:readOnly="false" ma:fieldId="{135f9e93-e411-4f51-a3e4-c80a6701173e}" ma:sspId="063de9ae-39ed-432d-a60f-11f6e5512909" ma:termSetId="5aa6e294-4074-4de8-b034-eae33c7f6456" ma:anchorId="00000000-0000-0000-0000-000000000000" ma:open="false" ma:isKeyword="false">
      <xsd:complexType>
        <xsd:sequence>
          <xsd:element ref="pc:Terms" minOccurs="0" maxOccurs="1"/>
        </xsd:sequence>
      </xsd:complexType>
    </xsd:element>
    <xsd:element name="ICRCDocTypeTaxHTField0" ma:index="22" nillable="true" ma:taxonomy="true" ma:internalName="ICRCDocTypeTaxHTField0" ma:taxonomyFieldName="ICRCDocType" ma:displayName="Document Type" ma:readOnly="false" ma:fieldId="{be9838ba-4f15-4a58-a832-ef14848e4da7}" ma:sspId="063de9ae-39ed-432d-a60f-11f6e5512909" ma:termSetId="7e5aeaf8-2813-4da8-aecc-0f64bd1fdd03" ma:anchorId="00000000-0000-0000-0000-000000000000" ma:open="false" ma:isKeyword="false">
      <xsd:complexType>
        <xsd:sequence>
          <xsd:element ref="pc:Terms" minOccurs="0" maxOccurs="1"/>
        </xsd:sequence>
      </xsd:complexType>
    </xsd:element>
    <xsd:element name="ICRCTargetPopTaxHTField0" ma:index="23" nillable="true" ma:taxonomy="true" ma:internalName="ICRCTargetPopTaxHTField0" ma:taxonomyFieldName="ICRCTargetPop" ma:displayName="Target Population" ma:readOnly="false" ma:fieldId="{428c71f3-5a54-49cd-a0b7-cd93cd21ce98}" ma:taxonomyMulti="true" ma:sspId="063de9ae-39ed-432d-a60f-11f6e5512909" ma:termSetId="54a7ef11-88dd-4cb5-b301-13d701d5e617" ma:anchorId="00000000-0000-0000-0000-000000000000" ma:open="false" ma:isKeyword="false">
      <xsd:complexType>
        <xsd:sequence>
          <xsd:element ref="pc:Terms" minOccurs="0" maxOccurs="1"/>
        </xsd:sequence>
      </xsd:complexType>
    </xsd:element>
    <xsd:element name="ICRCDocConfidentialityTaxHTField0" ma:index="24" nillable="true" ma:taxonomy="true" ma:internalName="ICRCDocConfidentialityTaxHTField0" ma:taxonomyFieldName="ICRCDocConfidentiality" ma:displayName="Confidentiality" ma:readOnly="false" ma:fieldId="{065c2617-21f6-47e4-87f5-3c0378fecd5d}" ma:sspId="063de9ae-39ed-432d-a60f-11f6e5512909" ma:termSetId="f0021583-4c67-4c81-8d0d-ec943395563e" ma:anchorId="00000000-0000-0000-0000-000000000000" ma:open="false" ma:isKeyword="false">
      <xsd:complexType>
        <xsd:sequence>
          <xsd:element ref="pc:Terms" minOccurs="0" maxOccurs="1"/>
        </xsd:sequence>
      </xsd:complexType>
    </xsd:element>
    <xsd:element name="ICRCProgramTaxHTField0" ma:index="25" nillable="true" ma:taxonomy="true" ma:internalName="ICRCProgramTaxHTField0" ma:taxonomyFieldName="ICRCProgram" ma:displayName="Program" ma:readOnly="false" ma:fieldId="{5350e6f5-69d7-4c86-be07-439af8f8b1b9}" ma:taxonomyMulti="true" ma:sspId="063de9ae-39ed-432d-a60f-11f6e5512909" ma:termSetId="821ddfa6-1e84-43f8-8c90-be9b45650eac" ma:anchorId="00000000-0000-0000-0000-000000000000" ma:open="false" ma:isKeyword="false">
      <xsd:complexType>
        <xsd:sequence>
          <xsd:element ref="pc:Terms" minOccurs="0" maxOccurs="1"/>
        </xsd:sequence>
      </xsd:complexType>
    </xsd:element>
    <xsd:element name="ICRCTopicsTaxHTField0" ma:index="26" nillable="true" ma:taxonomy="true" ma:internalName="ICRCTopicsTaxHTField0" ma:taxonomyFieldName="ICRCTopics" ma:displayName="Topics" ma:readOnly="false" ma:default="" ma:fieldId="{3c075bcb-7e07-4d9c-acf9-7529be614bbf}" ma:sspId="063de9ae-39ed-432d-a60f-11f6e5512909" ma:termSetId="59cf25eb-4869-4481-92a1-228488998142" ma:anchorId="ed2cf67f-efe7-483a-8961-f15bb28dd36c" ma:open="false" ma:isKeyword="false">
      <xsd:complexType>
        <xsd:sequence>
          <xsd:element ref="pc:Terms" minOccurs="0" maxOccurs="1"/>
        </xsd:sequence>
      </xsd:complexType>
    </xsd:element>
    <xsd:element name="ICRCGOTaxHTField0" ma:index="27" nillable="true" ma:taxonomy="true" ma:internalName="ICRCGOTaxHTField0" ma:taxonomyFieldName="ICRCGO" ma:displayName="General Objective" ma:readOnly="false" ma:fieldId="{fb639c23-0ff3-4663-9927-55966053951f}" ma:sspId="063de9ae-39ed-432d-a60f-11f6e5512909" ma:termSetId="58f1842f-7380-460a-8586-edac8a521b53" ma:anchorId="00000000-0000-0000-0000-000000000000" ma:open="false" ma:isKeyword="false">
      <xsd:complexType>
        <xsd:sequence>
          <xsd:element ref="pc:Terms" minOccurs="0" maxOccurs="1"/>
        </xsd:sequence>
      </xsd:complexType>
    </xsd:element>
    <xsd:element name="ICRCOUTaxHTField0" ma:index="28" nillable="true" ma:taxonomy="true" ma:internalName="ICRCOUTaxHTField0" ma:taxonomyFieldName="ICRCOU" ma:displayName="Organizational Unit" ma:readOnly="false" ma:fieldId="{ff6e645c-1932-4bb5-b853-60cad03f5e19}" ma:sspId="063de9ae-39ed-432d-a60f-11f6e5512909" ma:termSetId="583f4df2-d25e-4a80-b8fe-99cbb69ee9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9BA5-F935-4B90-9D7A-E34D2151BC81}">
  <ds:schemaRefs>
    <ds:schemaRef ds:uri="http://schemas.microsoft.com/sharepoint/v3/contenttype/forms"/>
  </ds:schemaRefs>
</ds:datastoreItem>
</file>

<file path=customXml/itemProps2.xml><?xml version="1.0" encoding="utf-8"?>
<ds:datastoreItem xmlns:ds="http://schemas.openxmlformats.org/officeDocument/2006/customXml" ds:itemID="{22F0A772-6D60-4996-8021-74CBB61A25DB}">
  <ds:schemaRefs>
    <ds:schemaRef ds:uri="http://schemas.microsoft.com/office/2006/metadata/longProperties"/>
  </ds:schemaRefs>
</ds:datastoreItem>
</file>

<file path=customXml/itemProps3.xml><?xml version="1.0" encoding="utf-8"?>
<ds:datastoreItem xmlns:ds="http://schemas.openxmlformats.org/officeDocument/2006/customXml" ds:itemID="{357DEB53-C125-4F60-889F-4E180AA3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404f13-89d3-4113-a8e8-df8a09353a30"/>
    <ds:schemaRef ds:uri="d8ad915f-1126-446c-8030-8746dcadf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A0684-6620-4C36-BC39-60D3F26EE228}">
  <ds:schemaRefs>
    <ds:schemaRef ds:uri="http://schemas.microsoft.com/sharepoint/events"/>
  </ds:schemaRefs>
</ds:datastoreItem>
</file>

<file path=customXml/itemProps5.xml><?xml version="1.0" encoding="utf-8"?>
<ds:datastoreItem xmlns:ds="http://schemas.openxmlformats.org/officeDocument/2006/customXml" ds:itemID="{A9A7B6F4-28FA-4BA9-8990-23C038AA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7211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International Conference of the Red Cross and Red Crescent</vt:lpstr>
    </vt:vector>
  </TitlesOfParts>
  <Company>ICRC</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Michal Sonja DREIFUSS</cp:lastModifiedBy>
  <cp:revision>2</cp:revision>
  <cp:lastPrinted>2015-11-18T17:21:00Z</cp:lastPrinted>
  <dcterms:created xsi:type="dcterms:W3CDTF">2019-12-10T07:08:00Z</dcterms:created>
  <dcterms:modified xsi:type="dcterms:W3CDTF">2019-12-10T07:08:00Z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ICRC-432-5014</vt:lpwstr>
  </property>
  <property fmtid="{D5CDD505-2E9C-101B-9397-08002B2CF9AE}" pid="3" name="_dlc_DocIdItemGuid">
    <vt:lpwstr>0ea76a63-9077-42c0-a696-2fbe85f59335</vt:lpwstr>
  </property>
  <property fmtid="{D5CDD505-2E9C-101B-9397-08002B2CF9AE}" pid="4" name="_dlc_DocIdUrl">
    <vt:lpwstr>https://teams.ext.icrc.org/projects/codic/_layouts/DocIdRedir.aspx?ID=ICRC-432-5014, ICRC-432-5014</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ies>
</file>