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2E5C9F" w14:textId="150EA8F5" w:rsidR="002A06DD" w:rsidRDefault="00881687">
      <w:bookmarkStart w:id="0" w:name="_GoBack"/>
      <w:bookmarkEnd w:id="0"/>
      <w:r>
        <w:rPr>
          <w:noProof/>
          <w:rtl/>
          <w:lang w:val="ar-SA"/>
        </w:rPr>
        <w:drawing>
          <wp:inline distT="0" distB="0" distL="0" distR="0" wp14:anchorId="32A7B7CE" wp14:editId="06FE4293">
            <wp:extent cx="3302000" cy="1121951"/>
            <wp:effectExtent l="0" t="0" r="0" b="2540"/>
            <wp:docPr id="365" name="Picture 365" descr="T:\Language\2019\Arabic\STATUTORY MEETINGS 2019\logo\All logos\Logo-IFRC_33InternationalConference_2018-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Language\2019\Arabic\STATUTORY MEETINGS 2019\logo\All logos\Logo-IFRC_33InternationalConference_2018-A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30048" cy="1165459"/>
                    </a:xfrm>
                    <a:prstGeom prst="rect">
                      <a:avLst/>
                    </a:prstGeom>
                    <a:noFill/>
                    <a:ln>
                      <a:noFill/>
                    </a:ln>
                  </pic:spPr>
                </pic:pic>
              </a:graphicData>
            </a:graphic>
          </wp:inline>
        </w:drawing>
      </w:r>
    </w:p>
    <w:p w14:paraId="3427BDF0" w14:textId="73AE7886" w:rsidR="00243C9A" w:rsidRDefault="00243C9A"/>
    <w:tbl>
      <w:tblPr>
        <w:tblStyle w:val="TableGrid"/>
        <w:bidiVisual/>
        <w:tblW w:w="0" w:type="auto"/>
        <w:tblLook w:val="04A0" w:firstRow="1" w:lastRow="0" w:firstColumn="1" w:lastColumn="0" w:noHBand="0" w:noVBand="1"/>
      </w:tblPr>
      <w:tblGrid>
        <w:gridCol w:w="9016"/>
      </w:tblGrid>
      <w:tr w:rsidR="00243C9A" w14:paraId="3A11F72E" w14:textId="77777777" w:rsidTr="00243C9A">
        <w:tc>
          <w:tcPr>
            <w:tcW w:w="9016" w:type="dxa"/>
          </w:tcPr>
          <w:p w14:paraId="04FB5C56" w14:textId="41081B19" w:rsidR="00243C9A" w:rsidRPr="00881687" w:rsidRDefault="00243C9A" w:rsidP="00243C9A">
            <w:pPr>
              <w:jc w:val="center"/>
              <w:rPr>
                <w:b/>
                <w:bCs/>
                <w:rtl/>
              </w:rPr>
            </w:pPr>
            <w:r w:rsidRPr="00881687">
              <w:rPr>
                <w:rFonts w:hint="cs"/>
                <w:b/>
                <w:bCs/>
                <w:rtl/>
              </w:rPr>
              <w:t>مشروع نموذج تعهد</w:t>
            </w:r>
          </w:p>
        </w:tc>
      </w:tr>
    </w:tbl>
    <w:p w14:paraId="0752B2CE" w14:textId="6F047555" w:rsidR="00243C9A" w:rsidRDefault="00243C9A">
      <w:pPr>
        <w:rPr>
          <w:rtl/>
        </w:rPr>
      </w:pPr>
    </w:p>
    <w:p w14:paraId="19162342" w14:textId="1F77B014" w:rsidR="00243C9A" w:rsidRPr="00881687" w:rsidRDefault="00243C9A">
      <w:pPr>
        <w:rPr>
          <w:b/>
          <w:bCs/>
          <w:rtl/>
        </w:rPr>
      </w:pPr>
      <w:r w:rsidRPr="00881687">
        <w:rPr>
          <w:rFonts w:hint="cs"/>
          <w:b/>
          <w:bCs/>
          <w:rtl/>
        </w:rPr>
        <w:t>عنوان التعهد: تعزيز مواجهة النزوح الداخلي</w:t>
      </w:r>
    </w:p>
    <w:tbl>
      <w:tblPr>
        <w:tblStyle w:val="TableGrid"/>
        <w:bidiVisual/>
        <w:tblW w:w="0" w:type="auto"/>
        <w:tblLook w:val="04A0" w:firstRow="1" w:lastRow="0" w:firstColumn="1" w:lastColumn="0" w:noHBand="0" w:noVBand="1"/>
      </w:tblPr>
      <w:tblGrid>
        <w:gridCol w:w="9016"/>
      </w:tblGrid>
      <w:tr w:rsidR="004C4756" w14:paraId="3A38E3F3" w14:textId="77777777" w:rsidTr="004C4756">
        <w:tc>
          <w:tcPr>
            <w:tcW w:w="9016" w:type="dxa"/>
          </w:tcPr>
          <w:p w14:paraId="0A57DB64" w14:textId="77777777" w:rsidR="004C4756" w:rsidRPr="0075635D" w:rsidRDefault="004C4756" w:rsidP="0075635D">
            <w:pPr>
              <w:rPr>
                <w:i/>
                <w:iCs/>
                <w:color w:val="4472C4" w:themeColor="accent1"/>
                <w:rtl/>
              </w:rPr>
            </w:pPr>
            <w:r w:rsidRPr="0075635D">
              <w:rPr>
                <w:rFonts w:hint="cs"/>
                <w:i/>
                <w:iCs/>
                <w:color w:val="4472C4" w:themeColor="accent1"/>
                <w:rtl/>
              </w:rPr>
              <w:t xml:space="preserve">تقدم هذه الوثيقة </w:t>
            </w:r>
            <w:r w:rsidRPr="0075635D">
              <w:rPr>
                <w:rFonts w:hint="cs"/>
                <w:b/>
                <w:bCs/>
                <w:i/>
                <w:iCs/>
                <w:color w:val="4472C4" w:themeColor="accent1"/>
                <w:rtl/>
              </w:rPr>
              <w:t>قائمة بالالتزامات المحتملة</w:t>
            </w:r>
            <w:r w:rsidRPr="0075635D">
              <w:rPr>
                <w:rFonts w:hint="cs"/>
                <w:i/>
                <w:iCs/>
                <w:color w:val="4472C4" w:themeColor="accent1"/>
                <w:rtl/>
              </w:rPr>
              <w:t xml:space="preserve"> التي يمكن أن يفكر المشاركون في المؤتمر (أي الدول والجمعيات الوطنية و/أو المنظمات التي تحضر بصفة مراقبين) في تقديم تعهدات بشأنها في مجال النزوح الداخلي.</w:t>
            </w:r>
          </w:p>
          <w:p w14:paraId="3B97297E" w14:textId="77777777" w:rsidR="004C4756" w:rsidRPr="0075635D" w:rsidRDefault="004C4756" w:rsidP="0075635D">
            <w:pPr>
              <w:rPr>
                <w:i/>
                <w:iCs/>
                <w:color w:val="4472C4" w:themeColor="accent1"/>
                <w:rtl/>
              </w:rPr>
            </w:pPr>
          </w:p>
          <w:p w14:paraId="03C84EE7" w14:textId="26CA57CD" w:rsidR="004C4756" w:rsidRPr="0075635D" w:rsidRDefault="004C4756" w:rsidP="0075635D">
            <w:pPr>
              <w:rPr>
                <w:i/>
                <w:iCs/>
                <w:color w:val="4472C4" w:themeColor="accent1"/>
                <w:rtl/>
              </w:rPr>
            </w:pPr>
            <w:r w:rsidRPr="0075635D">
              <w:rPr>
                <w:rFonts w:hint="cs"/>
                <w:i/>
                <w:iCs/>
                <w:color w:val="4472C4" w:themeColor="accent1"/>
                <w:rtl/>
              </w:rPr>
              <w:t>وقد تكون بعض الالتزامات أنسب للدول، والتزامات ثانية أنسب للجمعيات الوطنية وجهات أخرى.</w:t>
            </w:r>
          </w:p>
          <w:p w14:paraId="22A41844" w14:textId="77777777" w:rsidR="004C4756" w:rsidRPr="0075635D" w:rsidRDefault="004C4756" w:rsidP="0075635D">
            <w:pPr>
              <w:rPr>
                <w:i/>
                <w:iCs/>
                <w:color w:val="4472C4" w:themeColor="accent1"/>
                <w:rtl/>
              </w:rPr>
            </w:pPr>
          </w:p>
          <w:p w14:paraId="7DFA293C" w14:textId="311F8E55" w:rsidR="004C4756" w:rsidRPr="0075635D" w:rsidRDefault="004C4756" w:rsidP="0075635D">
            <w:pPr>
              <w:rPr>
                <w:i/>
                <w:iCs/>
                <w:color w:val="4472C4" w:themeColor="accent1"/>
                <w:rtl/>
              </w:rPr>
            </w:pPr>
            <w:r w:rsidRPr="0075635D">
              <w:rPr>
                <w:rFonts w:hint="cs"/>
                <w:i/>
                <w:iCs/>
                <w:color w:val="4472C4" w:themeColor="accent1"/>
                <w:rtl/>
              </w:rPr>
              <w:t>ونحن نشجع التعهدات الثنائية الأطراف بين الجمعيات الوطنية وحكوماتها من أجل تعزيز التعاون واتخاذ الخطوات العملية.</w:t>
            </w:r>
          </w:p>
          <w:p w14:paraId="19F09532" w14:textId="77777777" w:rsidR="004C4756" w:rsidRPr="0075635D" w:rsidRDefault="004C4756" w:rsidP="0075635D">
            <w:pPr>
              <w:rPr>
                <w:i/>
                <w:iCs/>
                <w:color w:val="4472C4" w:themeColor="accent1"/>
                <w:rtl/>
              </w:rPr>
            </w:pPr>
          </w:p>
          <w:p w14:paraId="17D52D2F" w14:textId="33E4368E" w:rsidR="004C4756" w:rsidRPr="0075635D" w:rsidRDefault="004C4756" w:rsidP="0075635D">
            <w:pPr>
              <w:rPr>
                <w:i/>
                <w:iCs/>
                <w:color w:val="4472C4" w:themeColor="accent1"/>
                <w:rtl/>
              </w:rPr>
            </w:pPr>
            <w:r w:rsidRPr="0075635D">
              <w:rPr>
                <w:rFonts w:hint="cs"/>
                <w:i/>
                <w:iCs/>
                <w:color w:val="4472C4" w:themeColor="accent1"/>
                <w:rtl/>
              </w:rPr>
              <w:t xml:space="preserve">وبصفة عامة، ينبغي أن يكون كل تعهد فردي في المؤتمر الدولي موجزا </w:t>
            </w:r>
            <w:r w:rsidRPr="0075635D">
              <w:rPr>
                <w:i/>
                <w:iCs/>
                <w:color w:val="4472C4" w:themeColor="accent1"/>
                <w:rtl/>
              </w:rPr>
              <w:t>–</w:t>
            </w:r>
            <w:r w:rsidRPr="0075635D">
              <w:rPr>
                <w:rFonts w:hint="cs"/>
                <w:i/>
                <w:iCs/>
                <w:color w:val="4472C4" w:themeColor="accent1"/>
                <w:rtl/>
              </w:rPr>
              <w:t xml:space="preserve"> يرجى اختيار ما يناسب سياقكم فقط (أو </w:t>
            </w:r>
            <w:r w:rsidR="0075635D" w:rsidRPr="0075635D">
              <w:rPr>
                <w:rFonts w:hint="cs"/>
                <w:i/>
                <w:iCs/>
                <w:color w:val="4472C4" w:themeColor="accent1"/>
                <w:rtl/>
              </w:rPr>
              <w:t>ص</w:t>
            </w:r>
            <w:r w:rsidR="0075635D">
              <w:rPr>
                <w:rFonts w:hint="cs"/>
                <w:i/>
                <w:iCs/>
                <w:color w:val="4472C4" w:themeColor="accent1"/>
                <w:rtl/>
              </w:rPr>
              <w:t>و</w:t>
            </w:r>
            <w:r w:rsidR="0075635D" w:rsidRPr="0075635D">
              <w:rPr>
                <w:rFonts w:hint="cs"/>
                <w:i/>
                <w:iCs/>
                <w:color w:val="4472C4" w:themeColor="accent1"/>
                <w:rtl/>
              </w:rPr>
              <w:t>غوا تعهدكم الخاص)</w:t>
            </w:r>
          </w:p>
          <w:p w14:paraId="0CA7FC0D" w14:textId="77777777" w:rsidR="004C4756" w:rsidRPr="0075635D" w:rsidRDefault="004C4756" w:rsidP="0075635D">
            <w:pPr>
              <w:rPr>
                <w:i/>
                <w:iCs/>
                <w:color w:val="4472C4" w:themeColor="accent1"/>
                <w:rtl/>
              </w:rPr>
            </w:pPr>
          </w:p>
          <w:p w14:paraId="4261BA67" w14:textId="0B32750C" w:rsidR="004C4756" w:rsidRPr="004C4756" w:rsidRDefault="004C4756" w:rsidP="0075635D">
            <w:pPr>
              <w:rPr>
                <w:rtl/>
              </w:rPr>
            </w:pPr>
            <w:r w:rsidRPr="0075635D">
              <w:rPr>
                <w:rFonts w:hint="cs"/>
                <w:i/>
                <w:iCs/>
                <w:color w:val="4472C4" w:themeColor="accent1"/>
                <w:rtl/>
              </w:rPr>
              <w:t xml:space="preserve">قد تود الجمعيات الوطنية أيضا </w:t>
            </w:r>
            <w:r w:rsidR="00921F92" w:rsidRPr="0075635D">
              <w:rPr>
                <w:rFonts w:hint="cs"/>
                <w:i/>
                <w:iCs/>
                <w:color w:val="4472C4" w:themeColor="accent1"/>
                <w:rtl/>
              </w:rPr>
              <w:t>اقتراح تعهدات إقليمية أو عبر إقليمية بخصوص قضايا تتعلق بمواضيع محددة.</w:t>
            </w:r>
          </w:p>
        </w:tc>
      </w:tr>
    </w:tbl>
    <w:p w14:paraId="2FFFA199" w14:textId="77777777" w:rsidR="004C4756" w:rsidRDefault="004C4756">
      <w:pPr>
        <w:rPr>
          <w:b/>
          <w:bCs/>
        </w:rPr>
      </w:pPr>
    </w:p>
    <w:p w14:paraId="4DAAC44F" w14:textId="512C6A87" w:rsidR="00243C9A" w:rsidRPr="00881687" w:rsidRDefault="00243C9A">
      <w:pPr>
        <w:rPr>
          <w:b/>
          <w:bCs/>
          <w:rtl/>
        </w:rPr>
      </w:pPr>
      <w:r w:rsidRPr="00881687">
        <w:rPr>
          <w:rFonts w:hint="cs"/>
          <w:b/>
          <w:bCs/>
          <w:rtl/>
        </w:rPr>
        <w:t>موضوع/مواضيع المؤتمر الدولي المتعلقة بهذه التعهد</w:t>
      </w:r>
    </w:p>
    <w:p w14:paraId="71685534" w14:textId="1FA5A6D1" w:rsidR="00243C9A" w:rsidRPr="00881687" w:rsidRDefault="00243C9A">
      <w:pPr>
        <w:rPr>
          <w:i/>
          <w:iCs/>
          <w:color w:val="2F5496" w:themeColor="accent1" w:themeShade="BF"/>
          <w:rtl/>
        </w:rPr>
      </w:pPr>
      <w:r w:rsidRPr="00881687">
        <w:rPr>
          <w:rFonts w:hint="cs"/>
          <w:i/>
          <w:iCs/>
          <w:color w:val="2F5496" w:themeColor="accent1" w:themeShade="BF"/>
          <w:rtl/>
        </w:rPr>
        <w:t xml:space="preserve">يتعلق هذا التعهد بموضوع مواطن الضعف المتغيرة ومواجهة الآثار الإنسانية للنزوح الداخلي الناجم عن النزعات المسلحة والكوارث وآثار تغير المناخ وغيرها من حالات الطوارئ، الذي </w:t>
      </w:r>
      <w:r w:rsidR="00D07852">
        <w:rPr>
          <w:rFonts w:hint="cs"/>
          <w:i/>
          <w:iCs/>
          <w:color w:val="2F5496" w:themeColor="accent1" w:themeShade="BF"/>
          <w:rtl/>
        </w:rPr>
        <w:t>سيُناقش</w:t>
      </w:r>
      <w:r w:rsidRPr="00881687">
        <w:rPr>
          <w:rFonts w:hint="cs"/>
          <w:i/>
          <w:iCs/>
          <w:color w:val="2F5496" w:themeColor="accent1" w:themeShade="BF"/>
          <w:rtl/>
        </w:rPr>
        <w:t xml:space="preserve"> في المؤتمر الدولي الثالث والثلاثين للصليب الأحمر والهلال الأحمر.</w:t>
      </w:r>
    </w:p>
    <w:p w14:paraId="0FCA2255" w14:textId="1A7BD417" w:rsidR="00243C9A" w:rsidRPr="00881687" w:rsidRDefault="00243C9A">
      <w:pPr>
        <w:rPr>
          <w:b/>
          <w:bCs/>
          <w:rtl/>
        </w:rPr>
      </w:pPr>
      <w:r w:rsidRPr="00881687">
        <w:rPr>
          <w:rFonts w:hint="cs"/>
          <w:b/>
          <w:bCs/>
          <w:rtl/>
        </w:rPr>
        <w:t>تعهد للفترة 2019-2023</w:t>
      </w:r>
    </w:p>
    <w:p w14:paraId="1B843333" w14:textId="5844C08D" w:rsidR="00243C9A" w:rsidRDefault="00243C9A">
      <w:pPr>
        <w:rPr>
          <w:rtl/>
        </w:rPr>
      </w:pPr>
      <w:r>
        <w:rPr>
          <w:rFonts w:hint="cs"/>
          <w:rtl/>
        </w:rPr>
        <w:t>ألف) أهداف التعهد</w:t>
      </w:r>
    </w:p>
    <w:p w14:paraId="609BCC25" w14:textId="30DDE8E4" w:rsidR="00243C9A" w:rsidRPr="00881687" w:rsidRDefault="00243C9A">
      <w:pPr>
        <w:rPr>
          <w:i/>
          <w:iCs/>
          <w:color w:val="2F5496" w:themeColor="accent1" w:themeShade="BF"/>
          <w:rtl/>
        </w:rPr>
      </w:pPr>
      <w:r w:rsidRPr="00881687">
        <w:rPr>
          <w:rFonts w:hint="cs"/>
          <w:i/>
          <w:iCs/>
          <w:color w:val="2F5496" w:themeColor="accent1" w:themeShade="BF"/>
          <w:rtl/>
        </w:rPr>
        <w:t xml:space="preserve">يقر التعهد بأن مواجهة التحديات الملحة في مجال النزوح يتطلب نهجا شموليا يستند إلى تعاون أكثر فعالية بين الدول المعنية التي تقع على عاتقها المسؤولية الأولى عن حماية ومساعدة الأشخاص النازحين داخليا الذين يخضعون لولايتها القضائية، والدول المانحة والمنظمات </w:t>
      </w:r>
      <w:r w:rsidR="00D40676" w:rsidRPr="00881687">
        <w:rPr>
          <w:rFonts w:hint="cs"/>
          <w:i/>
          <w:iCs/>
          <w:color w:val="2F5496" w:themeColor="accent1" w:themeShade="BF"/>
          <w:rtl/>
        </w:rPr>
        <w:t>الإنسانية والمنظمات الإنمائية. ويمكن للجمعيات الوطنية، في إطار دورها كهيئات مساعدة للسلطات في الميدان الإنساني، أن تقدم مساهمة مهمة في هذه الجهود.</w:t>
      </w:r>
    </w:p>
    <w:p w14:paraId="4C3C4AF2" w14:textId="0D0A1AA7" w:rsidR="00D40676" w:rsidRPr="00881687" w:rsidRDefault="00D40676">
      <w:pPr>
        <w:rPr>
          <w:i/>
          <w:iCs/>
          <w:color w:val="2F5496" w:themeColor="accent1" w:themeShade="BF"/>
          <w:rtl/>
        </w:rPr>
      </w:pPr>
      <w:r w:rsidRPr="00881687">
        <w:rPr>
          <w:rFonts w:hint="cs"/>
          <w:i/>
          <w:iCs/>
          <w:color w:val="2F5496" w:themeColor="accent1" w:themeShade="BF"/>
          <w:rtl/>
        </w:rPr>
        <w:lastRenderedPageBreak/>
        <w:t>والهدف من هذا التعهد هو تحسين التنسيق بين الدول وجمعياتها الوطنية لمنع الظروف التي تؤدي إلى النزوح وتعزيز تلبية احتياجات النازحين داخليا والمجتمعات المحلية المضيفة في الأجلين القصير والطويل، بما يتيح تحقيق تقدم منتظم نحو إيجاد حلول مستديمة للنازحين داخليا.</w:t>
      </w:r>
    </w:p>
    <w:p w14:paraId="57AD43BF" w14:textId="4D5BD883" w:rsidR="00D40676" w:rsidRDefault="00D40676" w:rsidP="00C00645">
      <w:pPr>
        <w:jc w:val="center"/>
        <w:rPr>
          <w:rtl/>
        </w:rPr>
      </w:pPr>
      <w:r>
        <w:rPr>
          <w:rFonts w:hint="cs"/>
          <w:rtl/>
        </w:rPr>
        <w:t>*****</w:t>
      </w:r>
    </w:p>
    <w:p w14:paraId="578DFE38" w14:textId="44D17DB1" w:rsidR="00D40676" w:rsidRPr="00881687" w:rsidRDefault="00D40676">
      <w:pPr>
        <w:rPr>
          <w:i/>
          <w:iCs/>
          <w:color w:val="2F5496" w:themeColor="accent1" w:themeShade="BF"/>
          <w:rtl/>
        </w:rPr>
      </w:pPr>
      <w:r w:rsidRPr="00881687">
        <w:rPr>
          <w:rFonts w:hint="cs"/>
          <w:i/>
          <w:iCs/>
          <w:color w:val="2F5496" w:themeColor="accent1" w:themeShade="BF"/>
          <w:rtl/>
        </w:rPr>
        <w:t>نحن</w:t>
      </w:r>
      <w:r w:rsidRPr="00881687">
        <w:rPr>
          <w:rFonts w:hint="cs"/>
          <w:color w:val="2F5496" w:themeColor="accent1" w:themeShade="BF"/>
          <w:rtl/>
        </w:rPr>
        <w:t xml:space="preserve"> </w:t>
      </w:r>
      <w:r w:rsidRPr="00881687">
        <w:rPr>
          <w:rFonts w:hint="cs"/>
          <w:color w:val="FF0000"/>
          <w:rtl/>
        </w:rPr>
        <w:t>[</w:t>
      </w:r>
      <w:r w:rsidR="00D07852">
        <w:rPr>
          <w:rFonts w:hint="cs"/>
          <w:color w:val="FF0000"/>
          <w:rtl/>
        </w:rPr>
        <w:t>ال</w:t>
      </w:r>
      <w:r w:rsidRPr="00881687">
        <w:rPr>
          <w:rFonts w:hint="cs"/>
          <w:color w:val="FF0000"/>
          <w:rtl/>
        </w:rPr>
        <w:t>حكومة/ الجمعية الوطنية/ [</w:t>
      </w:r>
      <w:r w:rsidR="00D07852">
        <w:rPr>
          <w:rFonts w:hint="cs"/>
          <w:color w:val="FF0000"/>
          <w:rtl/>
        </w:rPr>
        <w:t>ال</w:t>
      </w:r>
      <w:r w:rsidRPr="00881687">
        <w:rPr>
          <w:rFonts w:hint="cs"/>
          <w:color w:val="FF0000"/>
          <w:rtl/>
        </w:rPr>
        <w:t xml:space="preserve">حكومات] </w:t>
      </w:r>
      <w:r w:rsidR="00D07852" w:rsidRPr="00D07852">
        <w:rPr>
          <w:rFonts w:hint="cs"/>
          <w:color w:val="2F5496" w:themeColor="accent1" w:themeShade="BF"/>
          <w:rtl/>
        </w:rPr>
        <w:t xml:space="preserve">والجمعية الوطنية </w:t>
      </w:r>
      <w:r w:rsidRPr="00881687">
        <w:rPr>
          <w:rFonts w:hint="cs"/>
          <w:color w:val="FF0000"/>
          <w:rtl/>
        </w:rPr>
        <w:t xml:space="preserve">[البلد/المنطقة]، </w:t>
      </w:r>
      <w:r w:rsidRPr="00881687">
        <w:rPr>
          <w:rFonts w:hint="cs"/>
          <w:i/>
          <w:iCs/>
          <w:color w:val="2F5496" w:themeColor="accent1" w:themeShade="BF"/>
          <w:rtl/>
        </w:rPr>
        <w:t>نتعهد معا باتخاذ إجراءات لتعزيز مواجهة النزوح الداخلي [يمكن للدول والجمعيات الوطنية أن تكيف هذا التعهد لسياقها عن طريق اختيار الأهداف التي ستركز عليها من جملة الأهداف التالية أو بتحديد هدفها الخاص]:</w:t>
      </w:r>
    </w:p>
    <w:p w14:paraId="47FB8E52" w14:textId="70DD29C9" w:rsidR="00D40676" w:rsidRPr="00881687" w:rsidRDefault="003660EF" w:rsidP="00D40676">
      <w:pPr>
        <w:pStyle w:val="ListParagraph"/>
        <w:numPr>
          <w:ilvl w:val="0"/>
          <w:numId w:val="1"/>
        </w:numPr>
        <w:rPr>
          <w:i/>
          <w:iCs/>
          <w:color w:val="2F5496" w:themeColor="accent1" w:themeShade="BF"/>
        </w:rPr>
      </w:pPr>
      <w:r w:rsidRPr="00881687">
        <w:rPr>
          <w:rFonts w:hint="cs"/>
          <w:i/>
          <w:iCs/>
          <w:color w:val="2F5496" w:themeColor="accent1" w:themeShade="BF"/>
          <w:rtl/>
        </w:rPr>
        <w:t xml:space="preserve">مواصلة وضع قوانين ولوائح وسياسات وطنية تدافع عن حقوق النازحين داخليا، عند الضرورة، وضمان تطبيقها وتحديد واجبات الدول </w:t>
      </w:r>
      <w:r w:rsidR="00D07852">
        <w:rPr>
          <w:rFonts w:hint="cs"/>
          <w:i/>
          <w:iCs/>
          <w:color w:val="2F5496" w:themeColor="accent1" w:themeShade="BF"/>
          <w:rtl/>
        </w:rPr>
        <w:t>في هذا الميدان</w:t>
      </w:r>
      <w:r w:rsidRPr="00881687">
        <w:rPr>
          <w:rFonts w:hint="cs"/>
          <w:i/>
          <w:iCs/>
          <w:color w:val="2F5496" w:themeColor="accent1" w:themeShade="BF"/>
          <w:rtl/>
        </w:rPr>
        <w:t>.</w:t>
      </w:r>
    </w:p>
    <w:p w14:paraId="5B64B2DE" w14:textId="098C46D1" w:rsidR="003660EF" w:rsidRPr="00881687" w:rsidRDefault="003660EF" w:rsidP="00D40676">
      <w:pPr>
        <w:pStyle w:val="ListParagraph"/>
        <w:numPr>
          <w:ilvl w:val="0"/>
          <w:numId w:val="1"/>
        </w:numPr>
        <w:rPr>
          <w:i/>
          <w:iCs/>
          <w:color w:val="2F5496" w:themeColor="accent1" w:themeShade="BF"/>
        </w:rPr>
      </w:pPr>
      <w:r w:rsidRPr="00881687">
        <w:rPr>
          <w:rFonts w:hint="cs"/>
          <w:i/>
          <w:iCs/>
          <w:color w:val="2F5496" w:themeColor="accent1" w:themeShade="BF"/>
          <w:rtl/>
        </w:rPr>
        <w:t xml:space="preserve">ضمان إدراج حماية النازحين داخليا في الجهود الرامية إلى تطبيق القانون الدولي الإنساني والتزامات القانون الدولي لحقوق الإنسان والإدارة الشاملة لمخاطر الكوارث والتكيف مع تغير المناخ على المستوى المحلي. </w:t>
      </w:r>
    </w:p>
    <w:p w14:paraId="658578CB" w14:textId="42497AE1" w:rsidR="003660EF" w:rsidRPr="00881687" w:rsidRDefault="003660EF" w:rsidP="00D40676">
      <w:pPr>
        <w:pStyle w:val="ListParagraph"/>
        <w:numPr>
          <w:ilvl w:val="0"/>
          <w:numId w:val="1"/>
        </w:numPr>
        <w:rPr>
          <w:i/>
          <w:iCs/>
          <w:color w:val="2F5496" w:themeColor="accent1" w:themeShade="BF"/>
        </w:rPr>
      </w:pPr>
      <w:r w:rsidRPr="00881687">
        <w:rPr>
          <w:rFonts w:hint="cs"/>
          <w:i/>
          <w:iCs/>
          <w:color w:val="2F5496" w:themeColor="accent1" w:themeShade="BF"/>
          <w:rtl/>
        </w:rPr>
        <w:t>تعزيز حماية المدنيين واحترام القانون الدولي الإنساني في حالات النزاعات المسلحة وتحسين إجراءات الحد من مخاطر الكوارث والتأهب لها في جميع الظروف بهدف منع بعض الظروف المؤدية إلى النزوح حيثما أمكن.</w:t>
      </w:r>
    </w:p>
    <w:p w14:paraId="17FBE83A" w14:textId="1D2BA8A5" w:rsidR="002928D9" w:rsidRPr="00881687" w:rsidRDefault="002928D9" w:rsidP="00D40676">
      <w:pPr>
        <w:pStyle w:val="ListParagraph"/>
        <w:numPr>
          <w:ilvl w:val="0"/>
          <w:numId w:val="1"/>
        </w:numPr>
        <w:rPr>
          <w:i/>
          <w:iCs/>
          <w:color w:val="2F5496" w:themeColor="accent1" w:themeShade="BF"/>
        </w:rPr>
      </w:pPr>
      <w:r w:rsidRPr="00881687">
        <w:rPr>
          <w:rFonts w:hint="cs"/>
          <w:i/>
          <w:iCs/>
          <w:color w:val="2F5496" w:themeColor="accent1" w:themeShade="BF"/>
          <w:rtl/>
        </w:rPr>
        <w:t xml:space="preserve">تحسين الاستجابة لاحتياجات النازحين داخليا في الأجلين القصير والطويل، بمن فيهم أولئك الذين يعيشون خارج المخيمات وفي المناطق الحضرية والمجتمعات المحلية التي تستضيفهم. </w:t>
      </w:r>
    </w:p>
    <w:p w14:paraId="2EF18AB3" w14:textId="7E97733D" w:rsidR="002928D9" w:rsidRPr="00881687" w:rsidRDefault="002928D9" w:rsidP="00D40676">
      <w:pPr>
        <w:pStyle w:val="ListParagraph"/>
        <w:numPr>
          <w:ilvl w:val="0"/>
          <w:numId w:val="1"/>
        </w:numPr>
        <w:rPr>
          <w:i/>
          <w:iCs/>
          <w:color w:val="2F5496" w:themeColor="accent1" w:themeShade="BF"/>
        </w:rPr>
      </w:pPr>
      <w:r w:rsidRPr="00881687">
        <w:rPr>
          <w:rFonts w:hint="cs"/>
          <w:i/>
          <w:iCs/>
          <w:color w:val="2F5496" w:themeColor="accent1" w:themeShade="BF"/>
          <w:rtl/>
        </w:rPr>
        <w:t xml:space="preserve">مضاعفة الجهود الرامية إلى تقديم حلول دائمة للنازحين داخليا، وتمكنيهم من الاختيار طوعيا ومساعدتهم على العودة الآمنة </w:t>
      </w:r>
      <w:r w:rsidR="00D07852">
        <w:rPr>
          <w:rFonts w:hint="cs"/>
          <w:i/>
          <w:iCs/>
          <w:color w:val="2F5496" w:themeColor="accent1" w:themeShade="BF"/>
          <w:rtl/>
        </w:rPr>
        <w:t>إلى</w:t>
      </w:r>
      <w:r w:rsidRPr="00881687">
        <w:rPr>
          <w:rFonts w:hint="cs"/>
          <w:i/>
          <w:iCs/>
          <w:color w:val="2F5496" w:themeColor="accent1" w:themeShade="BF"/>
          <w:rtl/>
        </w:rPr>
        <w:t xml:space="preserve"> بلدانهم الأصلية وإعادة الاندماج فيها، والاندماج في أماكن النزوح أو إعادة التوطين في أجزاء أخرى من البلد حسب أولوياتهم، بانتظار استعادتهم حياة كريمة، ومراعاة احتياجات المجتمعات المستضيفة في ذات الوقت.</w:t>
      </w:r>
    </w:p>
    <w:p w14:paraId="5A2C5037" w14:textId="609E75B6" w:rsidR="002928D9" w:rsidRDefault="002928D9" w:rsidP="002928D9">
      <w:pPr>
        <w:rPr>
          <w:rtl/>
        </w:rPr>
      </w:pPr>
      <w:r>
        <w:rPr>
          <w:rFonts w:hint="cs"/>
          <w:rtl/>
        </w:rPr>
        <w:t>باء) خطة العمل المقترحة</w:t>
      </w:r>
    </w:p>
    <w:p w14:paraId="3A16C3E0" w14:textId="7440FD99" w:rsidR="002928D9" w:rsidRPr="00881687" w:rsidRDefault="00364977" w:rsidP="002928D9">
      <w:pPr>
        <w:rPr>
          <w:i/>
          <w:iCs/>
          <w:color w:val="2F5496" w:themeColor="accent1" w:themeShade="BF"/>
          <w:rtl/>
        </w:rPr>
      </w:pPr>
      <w:r w:rsidRPr="00881687">
        <w:rPr>
          <w:rFonts w:hint="cs"/>
          <w:i/>
          <w:iCs/>
          <w:color w:val="2F5496" w:themeColor="accent1" w:themeShade="BF"/>
          <w:rtl/>
        </w:rPr>
        <w:t>يمكن للدول والجمعيات الوطنية أن تضع خطط عملها الخاصة وفقا</w:t>
      </w:r>
      <w:r w:rsidR="00D07852">
        <w:rPr>
          <w:rFonts w:hint="cs"/>
          <w:i/>
          <w:iCs/>
          <w:color w:val="2F5496" w:themeColor="accent1" w:themeShade="BF"/>
          <w:rtl/>
        </w:rPr>
        <w:t xml:space="preserve"> </w:t>
      </w:r>
      <w:r w:rsidRPr="00881687">
        <w:rPr>
          <w:rFonts w:hint="cs"/>
          <w:i/>
          <w:iCs/>
          <w:color w:val="2F5496" w:themeColor="accent1" w:themeShade="BF"/>
          <w:rtl/>
        </w:rPr>
        <w:t xml:space="preserve">لأهداف </w:t>
      </w:r>
      <w:r w:rsidR="00D07852">
        <w:rPr>
          <w:rFonts w:hint="cs"/>
          <w:i/>
          <w:iCs/>
          <w:color w:val="2F5496" w:themeColor="accent1" w:themeShade="BF"/>
          <w:rtl/>
        </w:rPr>
        <w:t>عملها ذات الأولوية بالنسبة إلى</w:t>
      </w:r>
      <w:r w:rsidRPr="00881687">
        <w:rPr>
          <w:rFonts w:hint="cs"/>
          <w:i/>
          <w:iCs/>
          <w:color w:val="2F5496" w:themeColor="accent1" w:themeShade="BF"/>
          <w:rtl/>
        </w:rPr>
        <w:t xml:space="preserve"> سياقها، وكذلك تحديد الجدول الزمني وقائمة الأعمال القابلة للقياس التي تنوي تنفيذها بحلول سنة 2023. وفيما يلي بعضا من الإجراءات التي يمكن أن تتخذها الدو</w:t>
      </w:r>
      <w:r w:rsidR="00D07852">
        <w:rPr>
          <w:rFonts w:hint="cs"/>
          <w:i/>
          <w:iCs/>
          <w:color w:val="2F5496" w:themeColor="accent1" w:themeShade="BF"/>
          <w:rtl/>
        </w:rPr>
        <w:t>ل</w:t>
      </w:r>
      <w:r w:rsidRPr="00881687">
        <w:rPr>
          <w:rFonts w:hint="cs"/>
          <w:i/>
          <w:iCs/>
          <w:color w:val="2F5496" w:themeColor="accent1" w:themeShade="BF"/>
          <w:rtl/>
        </w:rPr>
        <w:t xml:space="preserve"> و/أو الجمعيات الوطني</w:t>
      </w:r>
      <w:r w:rsidR="00D07852">
        <w:rPr>
          <w:rFonts w:hint="cs"/>
          <w:i/>
          <w:iCs/>
          <w:color w:val="2F5496" w:themeColor="accent1" w:themeShade="BF"/>
          <w:rtl/>
        </w:rPr>
        <w:t>ة</w:t>
      </w:r>
      <w:r w:rsidRPr="00881687">
        <w:rPr>
          <w:rFonts w:hint="cs"/>
          <w:i/>
          <w:iCs/>
          <w:color w:val="2F5496" w:themeColor="accent1" w:themeShade="BF"/>
          <w:rtl/>
        </w:rPr>
        <w:t xml:space="preserve"> </w:t>
      </w:r>
      <w:r w:rsidR="00D07852">
        <w:rPr>
          <w:rFonts w:hint="cs"/>
          <w:i/>
          <w:iCs/>
          <w:color w:val="2F5496" w:themeColor="accent1" w:themeShade="BF"/>
          <w:rtl/>
        </w:rPr>
        <w:t>ل</w:t>
      </w:r>
      <w:r w:rsidRPr="00881687">
        <w:rPr>
          <w:rFonts w:hint="cs"/>
          <w:i/>
          <w:iCs/>
          <w:color w:val="2F5496" w:themeColor="accent1" w:themeShade="BF"/>
          <w:rtl/>
        </w:rPr>
        <w:t>تنفيذ الأهداف المذكورة أعلاه:</w:t>
      </w:r>
    </w:p>
    <w:p w14:paraId="44D5D182" w14:textId="46891A41" w:rsidR="00364977" w:rsidRPr="00881687" w:rsidRDefault="007E5AA2" w:rsidP="00364977">
      <w:pPr>
        <w:pStyle w:val="ListParagraph"/>
        <w:numPr>
          <w:ilvl w:val="0"/>
          <w:numId w:val="2"/>
        </w:numPr>
        <w:rPr>
          <w:i/>
          <w:iCs/>
          <w:color w:val="2F5496" w:themeColor="accent1" w:themeShade="BF"/>
        </w:rPr>
      </w:pPr>
      <w:r>
        <w:rPr>
          <w:rFonts w:hint="cs"/>
          <w:i/>
          <w:iCs/>
          <w:color w:val="2F5496" w:themeColor="accent1" w:themeShade="BF"/>
          <w:rtl/>
        </w:rPr>
        <w:t>ل</w:t>
      </w:r>
      <w:r w:rsidR="00364977" w:rsidRPr="00881687">
        <w:rPr>
          <w:rFonts w:hint="cs"/>
          <w:i/>
          <w:iCs/>
          <w:color w:val="2F5496" w:themeColor="accent1" w:themeShade="BF"/>
          <w:rtl/>
        </w:rPr>
        <w:t>وضع و/أو تنفيذ أطر قانونية محلية</w:t>
      </w:r>
      <w:r w:rsidR="00D54BDF" w:rsidRPr="00881687">
        <w:rPr>
          <w:rFonts w:hint="cs"/>
          <w:i/>
          <w:iCs/>
          <w:color w:val="2F5496" w:themeColor="accent1" w:themeShade="BF"/>
          <w:rtl/>
        </w:rPr>
        <w:t xml:space="preserve"> بشأن النزوح الداخلي و/أو </w:t>
      </w:r>
      <w:r w:rsidR="00D07852">
        <w:rPr>
          <w:rFonts w:hint="cs"/>
          <w:i/>
          <w:iCs/>
          <w:color w:val="2F5496" w:themeColor="accent1" w:themeShade="BF"/>
          <w:rtl/>
        </w:rPr>
        <w:t>إدراج</w:t>
      </w:r>
      <w:r w:rsidR="00D54BDF" w:rsidRPr="00881687">
        <w:rPr>
          <w:rFonts w:hint="cs"/>
          <w:i/>
          <w:iCs/>
          <w:color w:val="2F5496" w:themeColor="accent1" w:themeShade="BF"/>
          <w:rtl/>
        </w:rPr>
        <w:t xml:space="preserve"> حماية النازحين داخليا في الجهود التشريعية والسياسية الأوسع نطاقا:</w:t>
      </w:r>
    </w:p>
    <w:p w14:paraId="1BAD4B12" w14:textId="387928CB" w:rsidR="00D54BDF" w:rsidRPr="00881687" w:rsidRDefault="004B2110" w:rsidP="00D54BDF">
      <w:pPr>
        <w:pStyle w:val="ListParagraph"/>
        <w:numPr>
          <w:ilvl w:val="0"/>
          <w:numId w:val="3"/>
        </w:numPr>
        <w:rPr>
          <w:i/>
          <w:iCs/>
          <w:color w:val="2F5496" w:themeColor="accent1" w:themeShade="BF"/>
        </w:rPr>
      </w:pPr>
      <w:r w:rsidRPr="00881687">
        <w:rPr>
          <w:rFonts w:hint="cs"/>
          <w:i/>
          <w:iCs/>
          <w:color w:val="2F5496" w:themeColor="accent1" w:themeShade="BF"/>
          <w:rtl/>
        </w:rPr>
        <w:t>إجراء تحليل للقوانين واللوائح القائمة لتقييم صعوبات الوفاء بالالتزامات المتعلقة بالنازحين داخليا</w:t>
      </w:r>
    </w:p>
    <w:p w14:paraId="1B1EBB15" w14:textId="1D0C9883" w:rsidR="004B2110" w:rsidRPr="00881687" w:rsidRDefault="004B2110" w:rsidP="00D54BDF">
      <w:pPr>
        <w:pStyle w:val="ListParagraph"/>
        <w:numPr>
          <w:ilvl w:val="0"/>
          <w:numId w:val="3"/>
        </w:numPr>
        <w:rPr>
          <w:i/>
          <w:iCs/>
          <w:color w:val="2F5496" w:themeColor="accent1" w:themeShade="BF"/>
        </w:rPr>
      </w:pPr>
      <w:r w:rsidRPr="00881687">
        <w:rPr>
          <w:rFonts w:hint="cs"/>
          <w:i/>
          <w:iCs/>
          <w:color w:val="2F5496" w:themeColor="accent1" w:themeShade="BF"/>
          <w:rtl/>
        </w:rPr>
        <w:t>سن تشريعات ولوائح جديدة أو تعديل تشريعات ولوائح قائمة</w:t>
      </w:r>
      <w:r w:rsidR="00921F92">
        <w:rPr>
          <w:rFonts w:hint="cs"/>
          <w:i/>
          <w:iCs/>
          <w:color w:val="2F5496" w:themeColor="accent1" w:themeShade="BF"/>
          <w:rtl/>
        </w:rPr>
        <w:t>، بما فيها الأدلة العسكرية</w:t>
      </w:r>
      <w:r w:rsidRPr="00881687">
        <w:rPr>
          <w:rFonts w:hint="cs"/>
          <w:i/>
          <w:iCs/>
          <w:color w:val="2F5496" w:themeColor="accent1" w:themeShade="BF"/>
          <w:rtl/>
        </w:rPr>
        <w:t>، عند الضرورة، لتكييف الإطار القانوني المحلي بالكامل مع الالتزامات الدولية المتعلقة بمنع النزوح وحماية النازحين داخليا ومساعدتهم</w:t>
      </w:r>
    </w:p>
    <w:p w14:paraId="161A15AB" w14:textId="1DA636E2" w:rsidR="004B2110" w:rsidRPr="00881687" w:rsidRDefault="004B2110" w:rsidP="00D54BDF">
      <w:pPr>
        <w:pStyle w:val="ListParagraph"/>
        <w:numPr>
          <w:ilvl w:val="0"/>
          <w:numId w:val="3"/>
        </w:numPr>
        <w:rPr>
          <w:i/>
          <w:iCs/>
          <w:color w:val="2F5496" w:themeColor="accent1" w:themeShade="BF"/>
        </w:rPr>
      </w:pPr>
      <w:r w:rsidRPr="00881687">
        <w:rPr>
          <w:rFonts w:hint="cs"/>
          <w:i/>
          <w:iCs/>
          <w:color w:val="2F5496" w:themeColor="accent1" w:themeShade="BF"/>
          <w:rtl/>
        </w:rPr>
        <w:t>تجريم كل أعمال التشريد التعسفي</w:t>
      </w:r>
      <w:r w:rsidR="00921F92">
        <w:rPr>
          <w:rFonts w:hint="cs"/>
          <w:i/>
          <w:iCs/>
          <w:color w:val="2F5496" w:themeColor="accent1" w:themeShade="BF"/>
          <w:rtl/>
        </w:rPr>
        <w:t>، بما في ذلك حالات التشريد القسري الذي ينتهك القانون الدولية الإنساني و/أو القانون الدولي لحقوق الإنسان،</w:t>
      </w:r>
      <w:r w:rsidRPr="00881687">
        <w:rPr>
          <w:rFonts w:hint="cs"/>
          <w:i/>
          <w:iCs/>
          <w:color w:val="2F5496" w:themeColor="accent1" w:themeShade="BF"/>
          <w:rtl/>
        </w:rPr>
        <w:t xml:space="preserve"> عن طريق مراجعة </w:t>
      </w:r>
      <w:r w:rsidR="00381B5F" w:rsidRPr="00881687">
        <w:rPr>
          <w:rFonts w:hint="cs"/>
          <w:i/>
          <w:iCs/>
          <w:color w:val="2F5496" w:themeColor="accent1" w:themeShade="BF"/>
          <w:rtl/>
        </w:rPr>
        <w:t>القانون الجنائي أو كجزء من قانون النزوح الداخلي المعتمد مؤخرا.</w:t>
      </w:r>
    </w:p>
    <w:p w14:paraId="64BA52B7" w14:textId="2F6E526A" w:rsidR="00381B5F" w:rsidRPr="00881687" w:rsidRDefault="00381B5F" w:rsidP="00D54BDF">
      <w:pPr>
        <w:pStyle w:val="ListParagraph"/>
        <w:numPr>
          <w:ilvl w:val="0"/>
          <w:numId w:val="3"/>
        </w:numPr>
        <w:rPr>
          <w:i/>
          <w:iCs/>
          <w:color w:val="2F5496" w:themeColor="accent1" w:themeShade="BF"/>
        </w:rPr>
      </w:pPr>
      <w:r w:rsidRPr="00881687">
        <w:rPr>
          <w:rFonts w:hint="cs"/>
          <w:i/>
          <w:iCs/>
          <w:color w:val="2F5496" w:themeColor="accent1" w:themeShade="BF"/>
          <w:rtl/>
        </w:rPr>
        <w:t>دمج منظور النازحين داخليا عند اعتماد و/أو تنفيذ قانون الكوارث وإجراءات التأهب للكوارث</w:t>
      </w:r>
    </w:p>
    <w:p w14:paraId="365C86DF" w14:textId="434FC50B" w:rsidR="00381B5F" w:rsidRPr="00881687" w:rsidRDefault="007E5AA2" w:rsidP="00D54BDF">
      <w:pPr>
        <w:pStyle w:val="ListParagraph"/>
        <w:numPr>
          <w:ilvl w:val="0"/>
          <w:numId w:val="3"/>
        </w:numPr>
        <w:rPr>
          <w:i/>
          <w:iCs/>
          <w:color w:val="2F5496" w:themeColor="accent1" w:themeShade="BF"/>
        </w:rPr>
      </w:pPr>
      <w:r>
        <w:rPr>
          <w:rFonts w:hint="cs"/>
          <w:i/>
          <w:iCs/>
          <w:color w:val="2F5496" w:themeColor="accent1" w:themeShade="BF"/>
          <w:rtl/>
        </w:rPr>
        <w:lastRenderedPageBreak/>
        <w:t>مضاعفة</w:t>
      </w:r>
      <w:r w:rsidR="00381B5F" w:rsidRPr="00881687">
        <w:rPr>
          <w:rFonts w:hint="cs"/>
          <w:i/>
          <w:iCs/>
          <w:color w:val="2F5496" w:themeColor="accent1" w:themeShade="BF"/>
          <w:rtl/>
        </w:rPr>
        <w:t xml:space="preserve"> جهود النشر لضمان التوعية بالمبادئ التوجيهية المتعلقة بالنزوح الداخلي وتنفيذها [لدول أفريقيا، واتفاق الوحدة الأفريقية بشأن حماية ومساعدة النازحين داخليا]، مثل</w:t>
      </w:r>
      <w:r w:rsidR="00921F92">
        <w:rPr>
          <w:rFonts w:hint="cs"/>
          <w:i/>
          <w:iCs/>
          <w:color w:val="2F5496" w:themeColor="accent1" w:themeShade="BF"/>
          <w:rtl/>
        </w:rPr>
        <w:t xml:space="preserve"> تكليف اللجان الوطنية المعنية بالقانون الدولي الإنساني بإرشاد ومساعدة السلطات على نشر المعرفة بالمعايير والقواعد الدولي المناسبة، و</w:t>
      </w:r>
      <w:r w:rsidR="00381B5F" w:rsidRPr="00881687">
        <w:rPr>
          <w:rFonts w:hint="cs"/>
          <w:i/>
          <w:iCs/>
          <w:color w:val="2F5496" w:themeColor="accent1" w:themeShade="BF"/>
          <w:rtl/>
        </w:rPr>
        <w:t>تنظيم جلسات</w:t>
      </w:r>
      <w:r>
        <w:rPr>
          <w:rFonts w:hint="cs"/>
          <w:i/>
          <w:iCs/>
          <w:color w:val="2F5496" w:themeColor="accent1" w:themeShade="BF"/>
          <w:rtl/>
        </w:rPr>
        <w:t xml:space="preserve"> إعلامية</w:t>
      </w:r>
      <w:r w:rsidR="00381B5F" w:rsidRPr="00881687">
        <w:rPr>
          <w:rFonts w:hint="cs"/>
          <w:i/>
          <w:iCs/>
          <w:color w:val="2F5496" w:themeColor="accent1" w:themeShade="BF"/>
          <w:rtl/>
        </w:rPr>
        <w:t xml:space="preserve"> مع </w:t>
      </w:r>
      <w:r>
        <w:rPr>
          <w:rFonts w:hint="cs"/>
          <w:i/>
          <w:iCs/>
          <w:color w:val="2F5496" w:themeColor="accent1" w:themeShade="BF"/>
          <w:rtl/>
        </w:rPr>
        <w:t>ال</w:t>
      </w:r>
      <w:r w:rsidR="00381B5F" w:rsidRPr="00881687">
        <w:rPr>
          <w:rFonts w:hint="cs"/>
          <w:i/>
          <w:iCs/>
          <w:color w:val="2F5496" w:themeColor="accent1" w:themeShade="BF"/>
          <w:rtl/>
        </w:rPr>
        <w:t>برلمانيين ومؤسسات حقوق الإنسان الوطنية، وعقد حلقات عملية وجمع ممثلي الوزارات والحكومات المعنيين على الصعيدين المركزي والمحلي وعلى مستوى منظمات المجتمع المدني، وإطلا</w:t>
      </w:r>
      <w:r>
        <w:rPr>
          <w:rFonts w:hint="cs"/>
          <w:i/>
          <w:iCs/>
          <w:color w:val="2F5496" w:themeColor="accent1" w:themeShade="BF"/>
          <w:rtl/>
        </w:rPr>
        <w:t>ق</w:t>
      </w:r>
      <w:r w:rsidR="00381B5F" w:rsidRPr="00881687">
        <w:rPr>
          <w:rFonts w:hint="cs"/>
          <w:i/>
          <w:iCs/>
          <w:color w:val="2F5496" w:themeColor="accent1" w:themeShade="BF"/>
          <w:rtl/>
        </w:rPr>
        <w:t xml:space="preserve"> حملات </w:t>
      </w:r>
      <w:r>
        <w:rPr>
          <w:rFonts w:hint="cs"/>
          <w:i/>
          <w:iCs/>
          <w:color w:val="2F5496" w:themeColor="accent1" w:themeShade="BF"/>
          <w:rtl/>
        </w:rPr>
        <w:t>إعلامية</w:t>
      </w:r>
      <w:r w:rsidR="00381B5F" w:rsidRPr="00881687">
        <w:rPr>
          <w:rFonts w:hint="cs"/>
          <w:i/>
          <w:iCs/>
          <w:color w:val="2F5496" w:themeColor="accent1" w:themeShade="BF"/>
          <w:rtl/>
        </w:rPr>
        <w:t xml:space="preserve"> تستهدف النازحين داخليا والمجتمعات المحلية المضيفة. </w:t>
      </w:r>
    </w:p>
    <w:p w14:paraId="2F6DFA29" w14:textId="6E8C8D66" w:rsidR="00381B5F" w:rsidRPr="00881687" w:rsidRDefault="00381B5F" w:rsidP="00D54BDF">
      <w:pPr>
        <w:pStyle w:val="ListParagraph"/>
        <w:numPr>
          <w:ilvl w:val="0"/>
          <w:numId w:val="3"/>
        </w:numPr>
        <w:rPr>
          <w:i/>
          <w:iCs/>
          <w:color w:val="2F5496" w:themeColor="accent1" w:themeShade="BF"/>
        </w:rPr>
      </w:pPr>
      <w:r w:rsidRPr="00881687">
        <w:rPr>
          <w:rFonts w:hint="cs"/>
          <w:i/>
          <w:iCs/>
          <w:color w:val="2F5496" w:themeColor="accent1" w:themeShade="BF"/>
          <w:rtl/>
        </w:rPr>
        <w:t xml:space="preserve">تعيين سلطة أو هيئة للتنسيق يكون لها التفويض والشرعية اللازمين لتجنيد الجهود </w:t>
      </w:r>
      <w:r w:rsidR="007C0521" w:rsidRPr="00881687">
        <w:rPr>
          <w:rFonts w:hint="cs"/>
          <w:i/>
          <w:iCs/>
          <w:color w:val="2F5496" w:themeColor="accent1" w:themeShade="BF"/>
          <w:rtl/>
        </w:rPr>
        <w:t>وتسهيل الاستجابة لظروف النزوح الداخلي.</w:t>
      </w:r>
    </w:p>
    <w:p w14:paraId="211968B5" w14:textId="6D3674F4" w:rsidR="007C0521" w:rsidRPr="00881687" w:rsidRDefault="00FF7F95" w:rsidP="007C0521">
      <w:pPr>
        <w:pStyle w:val="ListParagraph"/>
        <w:numPr>
          <w:ilvl w:val="0"/>
          <w:numId w:val="2"/>
        </w:numPr>
        <w:rPr>
          <w:i/>
          <w:iCs/>
          <w:color w:val="2F5496" w:themeColor="accent1" w:themeShade="BF"/>
        </w:rPr>
      </w:pPr>
      <w:r w:rsidRPr="00881687">
        <w:rPr>
          <w:rFonts w:hint="cs"/>
          <w:i/>
          <w:iCs/>
          <w:color w:val="2F5496" w:themeColor="accent1" w:themeShade="BF"/>
          <w:rtl/>
        </w:rPr>
        <w:t>لتعزيز الاستجابة لتلبية احتياجات النازحين داخليا:</w:t>
      </w:r>
    </w:p>
    <w:p w14:paraId="5D319A18" w14:textId="1248E45F" w:rsidR="00FF7F95" w:rsidRPr="00881687" w:rsidRDefault="00FF7F95" w:rsidP="00FF7F95">
      <w:pPr>
        <w:pStyle w:val="ListParagraph"/>
        <w:numPr>
          <w:ilvl w:val="0"/>
          <w:numId w:val="4"/>
        </w:numPr>
        <w:rPr>
          <w:i/>
          <w:iCs/>
          <w:color w:val="2F5496" w:themeColor="accent1" w:themeShade="BF"/>
        </w:rPr>
      </w:pPr>
      <w:r w:rsidRPr="00881687">
        <w:rPr>
          <w:rFonts w:hint="cs"/>
          <w:i/>
          <w:iCs/>
          <w:color w:val="2F5496" w:themeColor="accent1" w:themeShade="BF"/>
          <w:rtl/>
        </w:rPr>
        <w:t>تخصيص الموارد البشرية والمالية المناسبة لسلطة/هيئة التنسيق المختارة من أجل العمل بصور فعالة</w:t>
      </w:r>
    </w:p>
    <w:p w14:paraId="116DBF7F" w14:textId="1E653F73" w:rsidR="00FF7F95" w:rsidRPr="00881687" w:rsidRDefault="00FF7F95" w:rsidP="00FF7F95">
      <w:pPr>
        <w:pStyle w:val="ListParagraph"/>
        <w:numPr>
          <w:ilvl w:val="0"/>
          <w:numId w:val="4"/>
        </w:numPr>
        <w:rPr>
          <w:i/>
          <w:iCs/>
          <w:color w:val="2F5496" w:themeColor="accent1" w:themeShade="BF"/>
        </w:rPr>
      </w:pPr>
      <w:r w:rsidRPr="00881687">
        <w:rPr>
          <w:rFonts w:hint="cs"/>
          <w:i/>
          <w:iCs/>
          <w:color w:val="2F5496" w:themeColor="accent1" w:themeShade="BF"/>
          <w:rtl/>
        </w:rPr>
        <w:t xml:space="preserve">تسهيل حصول النازحين داخليا على الوثائق الرسمية، مثلا عن طريق وضع إجراءات لاسترجاع وثائق مفقودة، عند اللزوم، و/أو ضمان استفادة النازحين داخليا من الإجراءات الموجودة. </w:t>
      </w:r>
    </w:p>
    <w:p w14:paraId="2D3FDC72" w14:textId="22DE2409" w:rsidR="00FF7F95" w:rsidRPr="00881687" w:rsidRDefault="00FF7F95" w:rsidP="00FF7F95">
      <w:pPr>
        <w:pStyle w:val="ListParagraph"/>
        <w:numPr>
          <w:ilvl w:val="0"/>
          <w:numId w:val="4"/>
        </w:numPr>
        <w:rPr>
          <w:i/>
          <w:iCs/>
          <w:color w:val="2F5496" w:themeColor="accent1" w:themeShade="BF"/>
        </w:rPr>
      </w:pPr>
      <w:r w:rsidRPr="00881687">
        <w:rPr>
          <w:rFonts w:hint="cs"/>
          <w:i/>
          <w:iCs/>
          <w:color w:val="2F5496" w:themeColor="accent1" w:themeShade="BF"/>
          <w:rtl/>
        </w:rPr>
        <w:t xml:space="preserve">تنفيذ مشاريع مدرة للدخل وغيرها من مبادرات التوظيف لتمكين النازحين داخليا من الاكتفاء الذاتي وتطبيع وضعهم. </w:t>
      </w:r>
    </w:p>
    <w:p w14:paraId="3F192BAF" w14:textId="4D7A2B02" w:rsidR="00FF7F95" w:rsidRPr="00881687" w:rsidRDefault="00FF7F95" w:rsidP="00FF7F95">
      <w:pPr>
        <w:pStyle w:val="ListParagraph"/>
        <w:numPr>
          <w:ilvl w:val="0"/>
          <w:numId w:val="4"/>
        </w:numPr>
        <w:rPr>
          <w:i/>
          <w:iCs/>
          <w:color w:val="2F5496" w:themeColor="accent1" w:themeShade="BF"/>
        </w:rPr>
      </w:pPr>
      <w:r w:rsidRPr="00881687">
        <w:rPr>
          <w:rFonts w:hint="cs"/>
          <w:i/>
          <w:iCs/>
          <w:color w:val="2F5496" w:themeColor="accent1" w:themeShade="BF"/>
          <w:rtl/>
        </w:rPr>
        <w:t>دعم المستشفيات في المناطق التي تستضيف نازحين داخليا لضمان استفادتهم من خدمات الرعاية الصحية، حسب الحاجة، بما في ذلك الدعم في مجال الصحة النفسية والرعاية النفسية والاجتماعية</w:t>
      </w:r>
    </w:p>
    <w:p w14:paraId="62D0BEBF" w14:textId="3195E9A0" w:rsidR="00FF7F95" w:rsidRPr="00881687" w:rsidRDefault="00FF7F95" w:rsidP="00FF7F95">
      <w:pPr>
        <w:pStyle w:val="ListParagraph"/>
        <w:numPr>
          <w:ilvl w:val="0"/>
          <w:numId w:val="4"/>
        </w:numPr>
        <w:rPr>
          <w:i/>
          <w:iCs/>
          <w:color w:val="2F5496" w:themeColor="accent1" w:themeShade="BF"/>
        </w:rPr>
      </w:pPr>
      <w:r w:rsidRPr="00881687">
        <w:rPr>
          <w:rFonts w:hint="cs"/>
          <w:i/>
          <w:iCs/>
          <w:color w:val="2F5496" w:themeColor="accent1" w:themeShade="BF"/>
          <w:rtl/>
        </w:rPr>
        <w:t>تسهيل حصول أطفال النازحين داخليا على التعليم عن طريق السماح باستثناءات</w:t>
      </w:r>
      <w:r w:rsidR="00F8659A" w:rsidRPr="00881687">
        <w:rPr>
          <w:rFonts w:hint="cs"/>
          <w:i/>
          <w:iCs/>
          <w:color w:val="2F5496" w:themeColor="accent1" w:themeShade="BF"/>
          <w:rtl/>
        </w:rPr>
        <w:t xml:space="preserve"> في المتطلبات الإجرائية للتسجيل في المدارس، عند الحاجة (مثلا الحاجة إلى توفير شهادات ولادة أو شهادات من مدارس سابقة)، وتنظيم امتحانات خاصة للأطفال الذي لا يستطيعون حضور امتحانات بسبب الترحال و/أو الاستثمار في هياكل مدرسية وتعيين معلمين في المناطق التي تأوي النازحين داخليا.</w:t>
      </w:r>
    </w:p>
    <w:p w14:paraId="5F307AC3" w14:textId="184F7C42" w:rsidR="00F8659A" w:rsidRPr="00881687" w:rsidRDefault="00F8659A" w:rsidP="00FF7F95">
      <w:pPr>
        <w:pStyle w:val="ListParagraph"/>
        <w:numPr>
          <w:ilvl w:val="0"/>
          <w:numId w:val="4"/>
        </w:numPr>
        <w:rPr>
          <w:i/>
          <w:iCs/>
          <w:color w:val="2F5496" w:themeColor="accent1" w:themeShade="BF"/>
        </w:rPr>
      </w:pPr>
      <w:r w:rsidRPr="00881687">
        <w:rPr>
          <w:rFonts w:hint="cs"/>
          <w:i/>
          <w:iCs/>
          <w:color w:val="2F5496" w:themeColor="accent1" w:themeShade="BF"/>
          <w:rtl/>
        </w:rPr>
        <w:t>مباشرة مبادلات مع دول أخرى حول الممارسات الجيدة والدروس المستخلصة وصعوبات تلبية الاحتياجات المتعددة للنازحين داخليا والمجتمعات المضيفة، و/أو حضور اجتماعات/حلقات عمل تنظمها جهات أخرى لهذه الغاية على المستويين دون الإقليمي والإقليمي</w:t>
      </w:r>
    </w:p>
    <w:p w14:paraId="3C5EBC2E" w14:textId="046C314B" w:rsidR="00F8659A" w:rsidRPr="00881687" w:rsidRDefault="00F8659A" w:rsidP="00FF7F95">
      <w:pPr>
        <w:pStyle w:val="ListParagraph"/>
        <w:numPr>
          <w:ilvl w:val="0"/>
          <w:numId w:val="4"/>
        </w:numPr>
        <w:rPr>
          <w:i/>
          <w:iCs/>
          <w:color w:val="2F5496" w:themeColor="accent1" w:themeShade="BF"/>
        </w:rPr>
      </w:pPr>
      <w:r w:rsidRPr="00881687">
        <w:rPr>
          <w:rFonts w:hint="cs"/>
          <w:i/>
          <w:iCs/>
          <w:color w:val="2F5496" w:themeColor="accent1" w:themeShade="BF"/>
          <w:rtl/>
        </w:rPr>
        <w:t xml:space="preserve">تعزيز قدرات موظفي الجمعيات الوطنية ومتطوعيها على مواجهة النزوح الداخلي في سياق النزاعات المسلحة والكوارث على حد سواء. </w:t>
      </w:r>
    </w:p>
    <w:p w14:paraId="45ABCE81" w14:textId="12D9A38B" w:rsidR="00F8659A" w:rsidRPr="00881687" w:rsidRDefault="00F8659A" w:rsidP="00FF7F95">
      <w:pPr>
        <w:pStyle w:val="ListParagraph"/>
        <w:numPr>
          <w:ilvl w:val="0"/>
          <w:numId w:val="4"/>
        </w:numPr>
        <w:rPr>
          <w:i/>
          <w:iCs/>
          <w:color w:val="2F5496" w:themeColor="accent1" w:themeShade="BF"/>
        </w:rPr>
      </w:pPr>
      <w:r w:rsidRPr="00881687">
        <w:rPr>
          <w:rFonts w:hint="cs"/>
          <w:i/>
          <w:iCs/>
          <w:color w:val="2F5496" w:themeColor="accent1" w:themeShade="BF"/>
          <w:rtl/>
        </w:rPr>
        <w:t>تكييف النظم والهياكل التنظيمية لتنفيذ وتفعيل سياسة الحركة بشأن النزوح الداخلي، بالتركيز على دور الجمعيات الوطنية كهيئات مساعدة.</w:t>
      </w:r>
    </w:p>
    <w:p w14:paraId="4263D7B3" w14:textId="0495FB8E" w:rsidR="00F8659A" w:rsidRPr="00881687" w:rsidRDefault="00F8659A" w:rsidP="00F8659A">
      <w:pPr>
        <w:pStyle w:val="ListParagraph"/>
        <w:numPr>
          <w:ilvl w:val="0"/>
          <w:numId w:val="2"/>
        </w:numPr>
        <w:rPr>
          <w:i/>
          <w:iCs/>
          <w:color w:val="2F5496" w:themeColor="accent1" w:themeShade="BF"/>
        </w:rPr>
      </w:pPr>
      <w:r w:rsidRPr="00881687">
        <w:rPr>
          <w:rFonts w:hint="cs"/>
          <w:i/>
          <w:iCs/>
          <w:color w:val="2F5496" w:themeColor="accent1" w:themeShade="BF"/>
          <w:rtl/>
        </w:rPr>
        <w:t>لتحقيق حلول مستدامة للنازحين داخليا</w:t>
      </w:r>
    </w:p>
    <w:p w14:paraId="08E01F93" w14:textId="179A7731" w:rsidR="00F8659A" w:rsidRPr="00881687" w:rsidRDefault="000F5936" w:rsidP="00F8659A">
      <w:pPr>
        <w:pStyle w:val="ListParagraph"/>
        <w:numPr>
          <w:ilvl w:val="0"/>
          <w:numId w:val="5"/>
        </w:numPr>
        <w:rPr>
          <w:i/>
          <w:iCs/>
          <w:color w:val="2F5496" w:themeColor="accent1" w:themeShade="BF"/>
        </w:rPr>
      </w:pPr>
      <w:r w:rsidRPr="00881687">
        <w:rPr>
          <w:rFonts w:hint="cs"/>
          <w:i/>
          <w:iCs/>
          <w:color w:val="2F5496" w:themeColor="accent1" w:themeShade="BF"/>
          <w:rtl/>
        </w:rPr>
        <w:t xml:space="preserve">تسهيل اختيار </w:t>
      </w:r>
      <w:r w:rsidR="004A4704">
        <w:rPr>
          <w:rFonts w:hint="cs"/>
          <w:i/>
          <w:iCs/>
          <w:color w:val="2F5496" w:themeColor="accent1" w:themeShade="BF"/>
          <w:rtl/>
        </w:rPr>
        <w:t>ا</w:t>
      </w:r>
      <w:r w:rsidRPr="00881687">
        <w:rPr>
          <w:rFonts w:hint="cs"/>
          <w:i/>
          <w:iCs/>
          <w:color w:val="2F5496" w:themeColor="accent1" w:themeShade="BF"/>
          <w:rtl/>
        </w:rPr>
        <w:t>لنازحين داخليا للحلول المستديمة</w:t>
      </w:r>
      <w:r w:rsidR="004A4704">
        <w:rPr>
          <w:rFonts w:hint="cs"/>
          <w:i/>
          <w:iCs/>
          <w:color w:val="2F5496" w:themeColor="accent1" w:themeShade="BF"/>
          <w:rtl/>
        </w:rPr>
        <w:t xml:space="preserve"> طوعا</w:t>
      </w:r>
      <w:r w:rsidRPr="00881687">
        <w:rPr>
          <w:rFonts w:hint="cs"/>
          <w:i/>
          <w:iCs/>
          <w:color w:val="2F5496" w:themeColor="accent1" w:themeShade="BF"/>
          <w:rtl/>
        </w:rPr>
        <w:t xml:space="preserve"> عن طريق ضمان وجود معلومات دقيقة ومناسبة بلغة وصيغة يفهمها النازحون داخليا عن الظروف في الأماكن الأصلية والادماج المحلي أو إعادة التوطين</w:t>
      </w:r>
    </w:p>
    <w:p w14:paraId="2F87E7CC" w14:textId="1EB2D903" w:rsidR="000F5936" w:rsidRPr="00881687" w:rsidRDefault="000F5936" w:rsidP="00F8659A">
      <w:pPr>
        <w:pStyle w:val="ListParagraph"/>
        <w:numPr>
          <w:ilvl w:val="0"/>
          <w:numId w:val="5"/>
        </w:numPr>
        <w:rPr>
          <w:i/>
          <w:iCs/>
          <w:color w:val="2F5496" w:themeColor="accent1" w:themeShade="BF"/>
        </w:rPr>
      </w:pPr>
      <w:r w:rsidRPr="00881687">
        <w:rPr>
          <w:rFonts w:hint="cs"/>
          <w:i/>
          <w:iCs/>
          <w:color w:val="2F5496" w:themeColor="accent1" w:themeShade="BF"/>
          <w:rtl/>
        </w:rPr>
        <w:t>مساعدة النازحين داخليا الذي</w:t>
      </w:r>
      <w:r w:rsidR="00854E3A" w:rsidRPr="00881687">
        <w:rPr>
          <w:rFonts w:hint="cs"/>
          <w:i/>
          <w:iCs/>
          <w:color w:val="2F5496" w:themeColor="accent1" w:themeShade="BF"/>
          <w:rtl/>
        </w:rPr>
        <w:t>ن</w:t>
      </w:r>
      <w:r w:rsidRPr="00881687">
        <w:rPr>
          <w:rFonts w:hint="cs"/>
          <w:i/>
          <w:iCs/>
          <w:color w:val="2F5496" w:themeColor="accent1" w:themeShade="BF"/>
          <w:rtl/>
        </w:rPr>
        <w:t xml:space="preserve"> عادوا أو الذي</w:t>
      </w:r>
      <w:r w:rsidR="004A4704">
        <w:rPr>
          <w:rFonts w:hint="cs"/>
          <w:i/>
          <w:iCs/>
          <w:color w:val="2F5496" w:themeColor="accent1" w:themeShade="BF"/>
          <w:rtl/>
        </w:rPr>
        <w:t>ن</w:t>
      </w:r>
      <w:r w:rsidRPr="00881687">
        <w:rPr>
          <w:rFonts w:hint="cs"/>
          <w:i/>
          <w:iCs/>
          <w:color w:val="2F5496" w:themeColor="accent1" w:themeShade="BF"/>
          <w:rtl/>
        </w:rPr>
        <w:t xml:space="preserve"> أُدمجوا محليا أو أعيد توطينهم في أماكن أخرى في البلد</w:t>
      </w:r>
      <w:r w:rsidR="00854E3A" w:rsidRPr="00881687">
        <w:rPr>
          <w:rFonts w:hint="cs"/>
          <w:i/>
          <w:iCs/>
          <w:color w:val="2F5496" w:themeColor="accent1" w:themeShade="BF"/>
          <w:rtl/>
        </w:rPr>
        <w:t xml:space="preserve">، على استرجاع الأملاك والممتلكات التي تركوها أو التي وضعت عليها اليد عند النزوح، بقدر المستطاع، أو تقديم تعويضات </w:t>
      </w:r>
      <w:r w:rsidR="004A4704">
        <w:rPr>
          <w:rFonts w:hint="cs"/>
          <w:i/>
          <w:iCs/>
          <w:color w:val="2F5496" w:themeColor="accent1" w:themeShade="BF"/>
          <w:rtl/>
        </w:rPr>
        <w:t>مناسبة أو جبرا مناسبا للضرر</w:t>
      </w:r>
      <w:r w:rsidR="00854E3A" w:rsidRPr="00881687">
        <w:rPr>
          <w:rFonts w:hint="cs"/>
          <w:i/>
          <w:iCs/>
          <w:color w:val="2F5496" w:themeColor="accent1" w:themeShade="BF"/>
          <w:rtl/>
        </w:rPr>
        <w:t xml:space="preserve"> إذا تعذر ذلك.</w:t>
      </w:r>
    </w:p>
    <w:p w14:paraId="73289773" w14:textId="29935DB4" w:rsidR="00854E3A" w:rsidRPr="00881687" w:rsidRDefault="00854E3A" w:rsidP="00F8659A">
      <w:pPr>
        <w:pStyle w:val="ListParagraph"/>
        <w:numPr>
          <w:ilvl w:val="0"/>
          <w:numId w:val="5"/>
        </w:numPr>
        <w:rPr>
          <w:i/>
          <w:iCs/>
          <w:color w:val="2F5496" w:themeColor="accent1" w:themeShade="BF"/>
        </w:rPr>
      </w:pPr>
      <w:r w:rsidRPr="00881687">
        <w:rPr>
          <w:rFonts w:hint="cs"/>
          <w:i/>
          <w:iCs/>
          <w:color w:val="2F5496" w:themeColor="accent1" w:themeShade="BF"/>
          <w:rtl/>
        </w:rPr>
        <w:t>ضمان مشاركة النازحين داخليا والمجتمعات المحلية المضيفة عن طريق مشاركة فعالة ومشاورات فعلية في إطار تخطيط وتنفيذ حلول مستدامة</w:t>
      </w:r>
    </w:p>
    <w:p w14:paraId="157E81C8" w14:textId="4E3BFFD6" w:rsidR="00854E3A" w:rsidRPr="00881687" w:rsidRDefault="00854E3A" w:rsidP="00F8659A">
      <w:pPr>
        <w:pStyle w:val="ListParagraph"/>
        <w:numPr>
          <w:ilvl w:val="0"/>
          <w:numId w:val="5"/>
        </w:numPr>
        <w:rPr>
          <w:i/>
          <w:iCs/>
          <w:color w:val="2F5496" w:themeColor="accent1" w:themeShade="BF"/>
        </w:rPr>
      </w:pPr>
      <w:r w:rsidRPr="00881687">
        <w:rPr>
          <w:rFonts w:hint="cs"/>
          <w:i/>
          <w:iCs/>
          <w:color w:val="2F5496" w:themeColor="accent1" w:themeShade="BF"/>
          <w:rtl/>
        </w:rPr>
        <w:lastRenderedPageBreak/>
        <w:t>تنفيذ برامج للمساعدة في مناطق العودة ومناطق الإدماج/إعادة التوطين المحلية بهدف ضمان إيجاد بدائل فعلية لمن لا يستطيعون العودة إلى بلدهم حاليا على الأقل أو الذي</w:t>
      </w:r>
      <w:r w:rsidR="004A4704">
        <w:rPr>
          <w:rFonts w:hint="cs"/>
          <w:i/>
          <w:iCs/>
          <w:color w:val="2F5496" w:themeColor="accent1" w:themeShade="BF"/>
          <w:rtl/>
        </w:rPr>
        <w:t>ن</w:t>
      </w:r>
      <w:r w:rsidRPr="00881687">
        <w:rPr>
          <w:rFonts w:hint="cs"/>
          <w:i/>
          <w:iCs/>
          <w:color w:val="2F5496" w:themeColor="accent1" w:themeShade="BF"/>
          <w:rtl/>
        </w:rPr>
        <w:t xml:space="preserve"> لا يريدون العودة.</w:t>
      </w:r>
    </w:p>
    <w:p w14:paraId="26340BD3" w14:textId="74958A1B" w:rsidR="00854E3A" w:rsidRPr="00881687" w:rsidRDefault="00854E3A" w:rsidP="00F8659A">
      <w:pPr>
        <w:pStyle w:val="ListParagraph"/>
        <w:numPr>
          <w:ilvl w:val="0"/>
          <w:numId w:val="5"/>
        </w:numPr>
        <w:rPr>
          <w:i/>
          <w:iCs/>
          <w:color w:val="2F5496" w:themeColor="accent1" w:themeShade="BF"/>
        </w:rPr>
      </w:pPr>
      <w:r w:rsidRPr="00881687">
        <w:rPr>
          <w:rFonts w:hint="cs"/>
          <w:i/>
          <w:iCs/>
          <w:color w:val="2F5496" w:themeColor="accent1" w:themeShade="BF"/>
          <w:rtl/>
        </w:rPr>
        <w:t>اعتماد نهج منسق لمواجهة النزوح المطول عن طريق إدراج القضايا المتعلقة بالنزوح الداخلي في خطط التنمية الوطنية.</w:t>
      </w:r>
    </w:p>
    <w:p w14:paraId="27E01D4E" w14:textId="20599FB1" w:rsidR="00854E3A" w:rsidRPr="00881687" w:rsidRDefault="00145ABF" w:rsidP="00854E3A">
      <w:pPr>
        <w:rPr>
          <w:i/>
          <w:iCs/>
          <w:color w:val="2F5496" w:themeColor="accent1" w:themeShade="BF"/>
          <w:rtl/>
        </w:rPr>
      </w:pPr>
      <w:r w:rsidRPr="00881687">
        <w:rPr>
          <w:rFonts w:hint="cs"/>
          <w:i/>
          <w:iCs/>
          <w:color w:val="2F5496" w:themeColor="accent1" w:themeShade="BF"/>
          <w:rtl/>
        </w:rPr>
        <w:t xml:space="preserve">قد تود الجمعيات الوطنية </w:t>
      </w:r>
      <w:r w:rsidR="004A4704">
        <w:rPr>
          <w:rFonts w:hint="cs"/>
          <w:i/>
          <w:iCs/>
          <w:color w:val="2F5496" w:themeColor="accent1" w:themeShade="BF"/>
          <w:rtl/>
        </w:rPr>
        <w:t>ال</w:t>
      </w:r>
      <w:r w:rsidRPr="00881687">
        <w:rPr>
          <w:rFonts w:hint="cs"/>
          <w:i/>
          <w:iCs/>
          <w:color w:val="2F5496" w:themeColor="accent1" w:themeShade="BF"/>
          <w:rtl/>
        </w:rPr>
        <w:t xml:space="preserve">تعهد باتخاذ تدابير </w:t>
      </w:r>
      <w:r w:rsidR="004A4704">
        <w:rPr>
          <w:rFonts w:hint="cs"/>
          <w:i/>
          <w:iCs/>
          <w:color w:val="2F5496" w:themeColor="accent1" w:themeShade="BF"/>
          <w:rtl/>
        </w:rPr>
        <w:t>أكثر ارتباطا</w:t>
      </w:r>
      <w:r w:rsidRPr="00881687">
        <w:rPr>
          <w:rFonts w:hint="cs"/>
          <w:i/>
          <w:iCs/>
          <w:color w:val="2F5496" w:themeColor="accent1" w:themeShade="BF"/>
          <w:rtl/>
        </w:rPr>
        <w:t xml:space="preserve"> </w:t>
      </w:r>
      <w:r w:rsidR="004A4704">
        <w:rPr>
          <w:rFonts w:hint="cs"/>
          <w:i/>
          <w:iCs/>
          <w:color w:val="2F5496" w:themeColor="accent1" w:themeShade="BF"/>
          <w:rtl/>
        </w:rPr>
        <w:t>ببنود</w:t>
      </w:r>
      <w:r w:rsidRPr="00881687">
        <w:rPr>
          <w:rFonts w:hint="cs"/>
          <w:i/>
          <w:iCs/>
          <w:color w:val="2F5496" w:themeColor="accent1" w:themeShade="BF"/>
          <w:rtl/>
        </w:rPr>
        <w:t xml:space="preserve"> القرار " تعزيز تنفيذ سياسة الحركة بشأن النزوح الداخلي" التي يراد أن يعتمدها مجلس المندوبين في سنة 2019 والتي سيتعين على جميع مكونات الحركة تنفيذه.</w:t>
      </w:r>
    </w:p>
    <w:p w14:paraId="024DA837" w14:textId="5ED2CBB2" w:rsidR="00145ABF" w:rsidRPr="004A4704" w:rsidRDefault="00145ABF" w:rsidP="00854E3A">
      <w:pPr>
        <w:rPr>
          <w:rtl/>
        </w:rPr>
      </w:pPr>
      <w:r w:rsidRPr="004A4704">
        <w:rPr>
          <w:rFonts w:hint="cs"/>
          <w:rtl/>
        </w:rPr>
        <w:t>جيم) مؤشرات لقياس التقدم المحرز</w:t>
      </w:r>
    </w:p>
    <w:p w14:paraId="57DD4F64" w14:textId="443E1FE1" w:rsidR="00145ABF" w:rsidRPr="00881687" w:rsidRDefault="00A867A1" w:rsidP="00A867A1">
      <w:pPr>
        <w:pStyle w:val="ListParagraph"/>
        <w:numPr>
          <w:ilvl w:val="0"/>
          <w:numId w:val="2"/>
        </w:numPr>
        <w:rPr>
          <w:i/>
          <w:iCs/>
          <w:color w:val="2F5496" w:themeColor="accent1" w:themeShade="BF"/>
        </w:rPr>
      </w:pPr>
      <w:r w:rsidRPr="00881687">
        <w:rPr>
          <w:rFonts w:hint="cs"/>
          <w:i/>
          <w:iCs/>
          <w:color w:val="2F5496" w:themeColor="accent1" w:themeShade="BF"/>
          <w:rtl/>
        </w:rPr>
        <w:t>وضع قوانين وسياسات ولوائح وطنية تحدد واجبات النازحين داخليا وحقوقهم</w:t>
      </w:r>
    </w:p>
    <w:p w14:paraId="1E59CCDD" w14:textId="6C8C1946" w:rsidR="00A867A1" w:rsidRPr="00881687" w:rsidRDefault="00A867A1" w:rsidP="00A867A1">
      <w:pPr>
        <w:pStyle w:val="ListParagraph"/>
        <w:numPr>
          <w:ilvl w:val="0"/>
          <w:numId w:val="2"/>
        </w:numPr>
        <w:rPr>
          <w:i/>
          <w:iCs/>
          <w:color w:val="2F5496" w:themeColor="accent1" w:themeShade="BF"/>
        </w:rPr>
      </w:pPr>
      <w:r w:rsidRPr="00881687">
        <w:rPr>
          <w:rFonts w:hint="cs"/>
          <w:i/>
          <w:iCs/>
          <w:color w:val="2F5496" w:themeColor="accent1" w:themeShade="BF"/>
          <w:rtl/>
        </w:rPr>
        <w:t>عدد السلطات الوطنية</w:t>
      </w:r>
      <w:r w:rsidR="004A4704">
        <w:rPr>
          <w:rFonts w:hint="cs"/>
          <w:i/>
          <w:iCs/>
          <w:color w:val="2F5496" w:themeColor="accent1" w:themeShade="BF"/>
          <w:rtl/>
        </w:rPr>
        <w:t xml:space="preserve"> المعيّنة</w:t>
      </w:r>
      <w:r w:rsidRPr="00881687">
        <w:rPr>
          <w:rFonts w:hint="cs"/>
          <w:i/>
          <w:iCs/>
          <w:color w:val="2F5496" w:themeColor="accent1" w:themeShade="BF"/>
          <w:rtl/>
        </w:rPr>
        <w:t xml:space="preserve"> لتنسيق عمليات مواجهة النزوح الداخلي</w:t>
      </w:r>
    </w:p>
    <w:p w14:paraId="38EE5FC1" w14:textId="49C7083B" w:rsidR="00A867A1" w:rsidRPr="00881687" w:rsidRDefault="00A867A1" w:rsidP="00A867A1">
      <w:pPr>
        <w:pStyle w:val="ListParagraph"/>
        <w:numPr>
          <w:ilvl w:val="0"/>
          <w:numId w:val="2"/>
        </w:numPr>
        <w:rPr>
          <w:i/>
          <w:iCs/>
          <w:color w:val="2F5496" w:themeColor="accent1" w:themeShade="BF"/>
        </w:rPr>
      </w:pPr>
      <w:r w:rsidRPr="00881687">
        <w:rPr>
          <w:rFonts w:hint="cs"/>
          <w:i/>
          <w:iCs/>
          <w:color w:val="2F5496" w:themeColor="accent1" w:themeShade="BF"/>
          <w:rtl/>
        </w:rPr>
        <w:t>قضايا النزوح الداخلي المدرجة في خطط التنمية الوطنية</w:t>
      </w:r>
    </w:p>
    <w:p w14:paraId="7393A6E8" w14:textId="05F9D6B7" w:rsidR="00A867A1" w:rsidRPr="00881687" w:rsidRDefault="00A867A1" w:rsidP="00A867A1">
      <w:pPr>
        <w:pStyle w:val="ListParagraph"/>
        <w:numPr>
          <w:ilvl w:val="0"/>
          <w:numId w:val="2"/>
        </w:numPr>
        <w:rPr>
          <w:i/>
          <w:iCs/>
          <w:color w:val="2F5496" w:themeColor="accent1" w:themeShade="BF"/>
        </w:rPr>
      </w:pPr>
      <w:r w:rsidRPr="00881687">
        <w:rPr>
          <w:rFonts w:hint="cs"/>
          <w:i/>
          <w:iCs/>
          <w:color w:val="2F5496" w:themeColor="accent1" w:themeShade="BF"/>
          <w:rtl/>
        </w:rPr>
        <w:t>المشاركة في محافل التبادل بين الأقران على المستويين دون الإقليمي والإقليمي</w:t>
      </w:r>
    </w:p>
    <w:p w14:paraId="5CAEF0E9" w14:textId="55B27B2E" w:rsidR="00A867A1" w:rsidRDefault="00A867A1" w:rsidP="00A867A1">
      <w:pPr>
        <w:pStyle w:val="ListParagraph"/>
        <w:numPr>
          <w:ilvl w:val="0"/>
          <w:numId w:val="2"/>
        </w:numPr>
        <w:rPr>
          <w:i/>
          <w:iCs/>
          <w:color w:val="2F5496" w:themeColor="accent1" w:themeShade="BF"/>
        </w:rPr>
      </w:pPr>
      <w:r w:rsidRPr="00881687">
        <w:rPr>
          <w:rFonts w:hint="cs"/>
          <w:i/>
          <w:iCs/>
          <w:color w:val="2F5496" w:themeColor="accent1" w:themeShade="BF"/>
          <w:rtl/>
        </w:rPr>
        <w:t>ادراج النزوح الداخلي بوصفه أولوية مواضيعية في الخطط الاستراتيجية للجمعيات الوطنية</w:t>
      </w:r>
    </w:p>
    <w:p w14:paraId="3B2C6B27" w14:textId="4CFD6D14" w:rsidR="004A4704" w:rsidRPr="004A4704" w:rsidRDefault="004A4704" w:rsidP="004A4704">
      <w:pPr>
        <w:ind w:left="360"/>
        <w:rPr>
          <w:i/>
          <w:iCs/>
          <w:color w:val="2F5496" w:themeColor="accent1" w:themeShade="BF"/>
        </w:rPr>
      </w:pPr>
    </w:p>
    <w:p w14:paraId="7EE1DAAA" w14:textId="0D225B79" w:rsidR="00A867A1" w:rsidRDefault="00A867A1" w:rsidP="00A867A1">
      <w:pPr>
        <w:rPr>
          <w:rtl/>
        </w:rPr>
      </w:pPr>
      <w:r>
        <w:rPr>
          <w:rFonts w:hint="cs"/>
          <w:rtl/>
        </w:rPr>
        <w:t>دال) التبعات من حيث الموارد</w:t>
      </w:r>
    </w:p>
    <w:p w14:paraId="7A1BF3A4" w14:textId="69AE4DE0" w:rsidR="00A867A1" w:rsidRDefault="00A867A1" w:rsidP="00A867A1">
      <w:pPr>
        <w:rPr>
          <w:i/>
          <w:iCs/>
          <w:color w:val="2F5496" w:themeColor="accent1" w:themeShade="BF"/>
          <w:rtl/>
        </w:rPr>
      </w:pPr>
      <w:r w:rsidRPr="00881687">
        <w:rPr>
          <w:rFonts w:hint="cs"/>
          <w:i/>
          <w:iCs/>
          <w:color w:val="2F5496" w:themeColor="accent1" w:themeShade="BF"/>
          <w:rtl/>
        </w:rPr>
        <w:t xml:space="preserve">على الدول و/أو الجمعيات الوطنية أن تحدد الموارد </w:t>
      </w:r>
      <w:r w:rsidR="004A4704">
        <w:rPr>
          <w:rFonts w:hint="cs"/>
          <w:i/>
          <w:iCs/>
          <w:color w:val="2F5496" w:themeColor="accent1" w:themeShade="BF"/>
          <w:rtl/>
        </w:rPr>
        <w:t>ال</w:t>
      </w:r>
      <w:r w:rsidRPr="00881687">
        <w:rPr>
          <w:rFonts w:hint="cs"/>
          <w:i/>
          <w:iCs/>
          <w:color w:val="2F5496" w:themeColor="accent1" w:themeShade="BF"/>
          <w:rtl/>
        </w:rPr>
        <w:t xml:space="preserve">مطلوبة لدعم تنفيذ هذا التعهد استنادا إلى الأهداف والأعمال </w:t>
      </w:r>
      <w:r w:rsidR="004A4704">
        <w:rPr>
          <w:rFonts w:hint="cs"/>
          <w:i/>
          <w:iCs/>
          <w:color w:val="2F5496" w:themeColor="accent1" w:themeShade="BF"/>
          <w:rtl/>
        </w:rPr>
        <w:t>التي تختارها</w:t>
      </w:r>
      <w:r w:rsidRPr="00881687">
        <w:rPr>
          <w:rFonts w:hint="cs"/>
          <w:i/>
          <w:iCs/>
          <w:color w:val="2F5496" w:themeColor="accent1" w:themeShade="BF"/>
          <w:rtl/>
        </w:rPr>
        <w:t xml:space="preserve"> في سياق محدد. </w:t>
      </w:r>
    </w:p>
    <w:p w14:paraId="5EEE7CCA" w14:textId="7E36393B" w:rsidR="00E902CF" w:rsidRDefault="00E902CF" w:rsidP="00A867A1">
      <w:pPr>
        <w:rPr>
          <w:i/>
          <w:iCs/>
          <w:color w:val="2F5496" w:themeColor="accent1" w:themeShade="BF"/>
          <w:rtl/>
        </w:rPr>
      </w:pPr>
    </w:p>
    <w:p w14:paraId="013E8333" w14:textId="0F999A69" w:rsidR="00E902CF" w:rsidRPr="00A11EAF" w:rsidRDefault="0075635D" w:rsidP="00A11EAF">
      <w:pPr>
        <w:spacing w:after="0"/>
        <w:rPr>
          <w:rtl/>
        </w:rPr>
      </w:pPr>
      <w:r>
        <w:rPr>
          <w:rFonts w:hint="cs"/>
          <w:rtl/>
        </w:rPr>
        <w:t>المُنظم</w:t>
      </w:r>
      <w:r w:rsidR="00921F92" w:rsidRPr="00A11EAF">
        <w:rPr>
          <w:rtl/>
        </w:rPr>
        <w:t>: اللجنة الدولية</w:t>
      </w:r>
    </w:p>
    <w:p w14:paraId="53BD1180" w14:textId="24AE6888" w:rsidR="00E902CF" w:rsidRPr="00A11EAF" w:rsidRDefault="00921F92" w:rsidP="00A11EAF">
      <w:pPr>
        <w:spacing w:after="0"/>
        <w:rPr>
          <w:rtl/>
          <w:lang w:val="en-US"/>
        </w:rPr>
      </w:pPr>
      <w:r w:rsidRPr="00A11EAF">
        <w:rPr>
          <w:rtl/>
        </w:rPr>
        <w:t xml:space="preserve">اسم القسم والمنسقة: </w:t>
      </w:r>
      <w:r w:rsidR="00A11EAF" w:rsidRPr="00A11EAF">
        <w:rPr>
          <w:lang w:val="en-US"/>
        </w:rPr>
        <w:t>Angela Cotroneo</w:t>
      </w:r>
    </w:p>
    <w:p w14:paraId="65F9AF45" w14:textId="68EBEC83" w:rsidR="00A11EAF" w:rsidRPr="00A11EAF" w:rsidRDefault="00A11EAF" w:rsidP="00A11EAF">
      <w:pPr>
        <w:spacing w:after="0"/>
        <w:rPr>
          <w:lang w:val="en-US"/>
        </w:rPr>
      </w:pPr>
      <w:r w:rsidRPr="00A11EAF">
        <w:rPr>
          <w:rtl/>
          <w:lang w:val="en-US"/>
        </w:rPr>
        <w:t xml:space="preserve">عنوان البريد الالكتروني ورقم الهاتف: </w:t>
      </w:r>
      <w:hyperlink r:id="rId11" w:history="1">
        <w:r w:rsidRPr="00A11EAF">
          <w:rPr>
            <w:rStyle w:val="Hyperlink"/>
            <w:lang w:val="en-US"/>
          </w:rPr>
          <w:t>acotroneo@icrc.org</w:t>
        </w:r>
      </w:hyperlink>
      <w:r w:rsidRPr="00A11EAF">
        <w:rPr>
          <w:lang w:val="en-US"/>
        </w:rPr>
        <w:t xml:space="preserve">  Tel.:+41-22-730 2088</w:t>
      </w:r>
    </w:p>
    <w:p w14:paraId="36C5C781" w14:textId="77777777" w:rsidR="00A11EAF" w:rsidRPr="00A11EAF" w:rsidRDefault="00A11EAF" w:rsidP="00A11EAF">
      <w:pPr>
        <w:pStyle w:val="Indent1"/>
        <w:ind w:left="0" w:firstLine="0"/>
        <w:rPr>
          <w:rFonts w:ascii="Arabic Typesetting" w:hAnsi="Arabic Typesetting" w:cs="Arabic Typesetting"/>
          <w:sz w:val="32"/>
          <w:szCs w:val="32"/>
          <w:lang w:val="en-US"/>
        </w:rPr>
      </w:pPr>
    </w:p>
    <w:p w14:paraId="794EFAD5" w14:textId="6573286D" w:rsidR="00A11EAF" w:rsidRPr="00A11EAF" w:rsidRDefault="0075635D" w:rsidP="00A11EAF">
      <w:pPr>
        <w:spacing w:after="0"/>
        <w:rPr>
          <w:rtl/>
          <w:lang w:val="en-US"/>
        </w:rPr>
      </w:pPr>
      <w:r>
        <w:rPr>
          <w:rFonts w:hint="cs"/>
          <w:rtl/>
          <w:lang w:val="en-US"/>
        </w:rPr>
        <w:t>المُنظم</w:t>
      </w:r>
      <w:r w:rsidR="00A11EAF" w:rsidRPr="00A11EAF">
        <w:rPr>
          <w:rtl/>
          <w:lang w:val="en-US"/>
        </w:rPr>
        <w:t>: الاتحاد الدولي</w:t>
      </w:r>
    </w:p>
    <w:p w14:paraId="56E14274" w14:textId="0BE03DF7" w:rsidR="00A11EAF" w:rsidRPr="00A11EAF" w:rsidRDefault="00A11EAF" w:rsidP="00A11EAF">
      <w:pPr>
        <w:spacing w:after="0"/>
        <w:rPr>
          <w:rtl/>
          <w:lang w:val="en-US"/>
        </w:rPr>
      </w:pPr>
      <w:r w:rsidRPr="00A11EAF">
        <w:rPr>
          <w:rtl/>
          <w:lang w:val="en-US"/>
        </w:rPr>
        <w:t xml:space="preserve">اسم القسم والمنسقة: </w:t>
      </w:r>
      <w:r w:rsidRPr="00A11EAF">
        <w:rPr>
          <w:lang w:val="en-US"/>
        </w:rPr>
        <w:t>Tiziana Bonzon</w:t>
      </w:r>
    </w:p>
    <w:p w14:paraId="18AA4EA0" w14:textId="7E94AC03" w:rsidR="00A11EAF" w:rsidRPr="00A11EAF" w:rsidRDefault="00A11EAF" w:rsidP="00A11EAF">
      <w:pPr>
        <w:spacing w:after="0"/>
        <w:rPr>
          <w:i/>
          <w:iCs/>
          <w:color w:val="2F5496" w:themeColor="accent1" w:themeShade="BF"/>
          <w:lang w:val="en-US"/>
        </w:rPr>
      </w:pPr>
      <w:r w:rsidRPr="00A11EAF">
        <w:rPr>
          <w:rtl/>
          <w:lang w:val="en-US"/>
        </w:rPr>
        <w:t xml:space="preserve">عنوان البريد الالكتروني ورقم الهاتف: </w:t>
      </w:r>
      <w:hyperlink r:id="rId12" w:history="1">
        <w:r w:rsidRPr="00A11EAF">
          <w:rPr>
            <w:rStyle w:val="Hyperlink"/>
            <w:lang w:val="en-US"/>
          </w:rPr>
          <w:t>tiziana.bonzon@ifrc.org</w:t>
        </w:r>
      </w:hyperlink>
      <w:r w:rsidRPr="00A11EAF">
        <w:rPr>
          <w:lang w:val="en-US"/>
        </w:rPr>
        <w:t xml:space="preserve">  Tel.:+41-22-730 4447</w:t>
      </w:r>
    </w:p>
    <w:p w14:paraId="5897016D" w14:textId="77777777" w:rsidR="00A11EAF" w:rsidRDefault="00A11EAF" w:rsidP="00A11EAF">
      <w:pPr>
        <w:pStyle w:val="Indent1"/>
        <w:ind w:left="0" w:firstLine="0"/>
        <w:rPr>
          <w:rFonts w:ascii="Arial" w:hAnsi="Arial" w:cs="Arial"/>
          <w:sz w:val="22"/>
          <w:szCs w:val="22"/>
          <w:lang w:val="en-US"/>
        </w:rPr>
      </w:pPr>
    </w:p>
    <w:p w14:paraId="3EADD2A2" w14:textId="2D765F14" w:rsidR="00E902CF" w:rsidRDefault="00E902CF" w:rsidP="00A867A1">
      <w:pPr>
        <w:rPr>
          <w:i/>
          <w:iCs/>
          <w:color w:val="2F5496" w:themeColor="accent1" w:themeShade="BF"/>
          <w:rtl/>
        </w:rPr>
      </w:pPr>
    </w:p>
    <w:p w14:paraId="5E95D9D8" w14:textId="35D31314" w:rsidR="00E902CF" w:rsidRDefault="00E902CF" w:rsidP="00A867A1">
      <w:pPr>
        <w:rPr>
          <w:i/>
          <w:iCs/>
          <w:color w:val="2F5496" w:themeColor="accent1" w:themeShade="BF"/>
          <w:rtl/>
        </w:rPr>
      </w:pPr>
    </w:p>
    <w:p w14:paraId="7D8FB769" w14:textId="0D7C2C7C" w:rsidR="00E902CF" w:rsidRDefault="00E902CF" w:rsidP="00A867A1">
      <w:pPr>
        <w:rPr>
          <w:i/>
          <w:iCs/>
          <w:color w:val="2F5496" w:themeColor="accent1" w:themeShade="BF"/>
          <w:rtl/>
        </w:rPr>
      </w:pPr>
    </w:p>
    <w:p w14:paraId="45E0432F" w14:textId="477E3D69" w:rsidR="00E902CF" w:rsidRDefault="00E902CF" w:rsidP="00A867A1">
      <w:pPr>
        <w:rPr>
          <w:i/>
          <w:iCs/>
          <w:color w:val="2F5496" w:themeColor="accent1" w:themeShade="BF"/>
          <w:rtl/>
        </w:rPr>
      </w:pPr>
    </w:p>
    <w:p w14:paraId="5106CF18" w14:textId="4FDD3BC1" w:rsidR="00E902CF" w:rsidRPr="0084445B" w:rsidRDefault="00E902CF" w:rsidP="00E902CF">
      <w:pPr>
        <w:bidi w:val="0"/>
        <w:rPr>
          <w:i/>
          <w:iCs/>
          <w:color w:val="2F5496" w:themeColor="accent1" w:themeShade="BF"/>
          <w:sz w:val="18"/>
          <w:szCs w:val="18"/>
        </w:rPr>
      </w:pPr>
      <w:r w:rsidRPr="0084445B">
        <w:rPr>
          <w:sz w:val="18"/>
          <w:szCs w:val="18"/>
        </w:rPr>
        <w:fldChar w:fldCharType="begin"/>
      </w:r>
      <w:r w:rsidRPr="0084445B">
        <w:rPr>
          <w:sz w:val="18"/>
          <w:szCs w:val="18"/>
          <w:lang w:val="en-US"/>
        </w:rPr>
        <w:instrText xml:space="preserve"> FILENAME \p </w:instrText>
      </w:r>
      <w:r w:rsidRPr="0084445B">
        <w:rPr>
          <w:sz w:val="18"/>
          <w:szCs w:val="18"/>
        </w:rPr>
        <w:fldChar w:fldCharType="separate"/>
      </w:r>
      <w:r w:rsidR="0075635D">
        <w:rPr>
          <w:noProof/>
          <w:sz w:val="18"/>
          <w:szCs w:val="18"/>
          <w:lang w:val="en-US"/>
        </w:rPr>
        <w:t>T:\Language\2019\Arabic\IC 33-2019\Pledges\S_191125_022_33IC Model Pledge IDPs FINAL-25 Nov _AR.docx</w:t>
      </w:r>
      <w:r w:rsidRPr="0084445B">
        <w:rPr>
          <w:sz w:val="18"/>
          <w:szCs w:val="18"/>
        </w:rPr>
        <w:fldChar w:fldCharType="end"/>
      </w:r>
      <w:r w:rsidRPr="0084445B">
        <w:rPr>
          <w:sz w:val="18"/>
          <w:szCs w:val="18"/>
          <w:lang w:val="en-US"/>
        </w:rPr>
        <w:t>/</w:t>
      </w:r>
      <w:r w:rsidR="00A11EAF">
        <w:rPr>
          <w:sz w:val="18"/>
          <w:szCs w:val="18"/>
          <w:lang w:val="en-US"/>
        </w:rPr>
        <w:t>26.</w:t>
      </w:r>
      <w:r w:rsidR="0084445B" w:rsidRPr="0084445B">
        <w:rPr>
          <w:sz w:val="18"/>
          <w:szCs w:val="18"/>
          <w:lang w:val="en-US"/>
        </w:rPr>
        <w:t>11</w:t>
      </w:r>
      <w:r w:rsidRPr="0084445B">
        <w:rPr>
          <w:sz w:val="18"/>
          <w:szCs w:val="18"/>
          <w:lang w:val="en-US"/>
        </w:rPr>
        <w:t>.19</w:t>
      </w:r>
    </w:p>
    <w:sectPr w:rsidR="00E902CF" w:rsidRPr="0084445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21EFF" w14:textId="77777777" w:rsidR="004A4704" w:rsidRDefault="004A4704" w:rsidP="004A4704">
      <w:pPr>
        <w:spacing w:after="0"/>
      </w:pPr>
      <w:r>
        <w:separator/>
      </w:r>
    </w:p>
  </w:endnote>
  <w:endnote w:type="continuationSeparator" w:id="0">
    <w:p w14:paraId="1B5CA80A" w14:textId="77777777" w:rsidR="004A4704" w:rsidRDefault="004A4704" w:rsidP="004A47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707227435"/>
      <w:docPartObj>
        <w:docPartGallery w:val="Page Numbers (Bottom of Page)"/>
        <w:docPartUnique/>
      </w:docPartObj>
    </w:sdtPr>
    <w:sdtEndPr>
      <w:rPr>
        <w:noProof/>
      </w:rPr>
    </w:sdtEndPr>
    <w:sdtContent>
      <w:p w14:paraId="7129F736" w14:textId="3184F45A" w:rsidR="004A4704" w:rsidRDefault="004A470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DBDFA2" w14:textId="77777777" w:rsidR="004A4704" w:rsidRDefault="004A47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F1780" w14:textId="77777777" w:rsidR="004A4704" w:rsidRDefault="004A4704" w:rsidP="004A4704">
      <w:pPr>
        <w:spacing w:after="0"/>
      </w:pPr>
      <w:r>
        <w:separator/>
      </w:r>
    </w:p>
  </w:footnote>
  <w:footnote w:type="continuationSeparator" w:id="0">
    <w:p w14:paraId="667CEEBB" w14:textId="77777777" w:rsidR="004A4704" w:rsidRDefault="004A4704" w:rsidP="004A47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5BA2"/>
    <w:multiLevelType w:val="hybridMultilevel"/>
    <w:tmpl w:val="47EC9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1F1E94"/>
    <w:multiLevelType w:val="hybridMultilevel"/>
    <w:tmpl w:val="7B9A614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4A35A2D"/>
    <w:multiLevelType w:val="hybridMultilevel"/>
    <w:tmpl w:val="63BA2E2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CBB6344"/>
    <w:multiLevelType w:val="hybridMultilevel"/>
    <w:tmpl w:val="D60E83D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9D218FE"/>
    <w:multiLevelType w:val="hybridMultilevel"/>
    <w:tmpl w:val="C6C87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37C"/>
    <w:rsid w:val="0007237C"/>
    <w:rsid w:val="000F5936"/>
    <w:rsid w:val="00145ABF"/>
    <w:rsid w:val="00243C9A"/>
    <w:rsid w:val="002928D9"/>
    <w:rsid w:val="002A06DD"/>
    <w:rsid w:val="002A309C"/>
    <w:rsid w:val="00364977"/>
    <w:rsid w:val="003660EF"/>
    <w:rsid w:val="00381B5F"/>
    <w:rsid w:val="003C420B"/>
    <w:rsid w:val="004A4704"/>
    <w:rsid w:val="004B2110"/>
    <w:rsid w:val="004C4756"/>
    <w:rsid w:val="00553A96"/>
    <w:rsid w:val="00654786"/>
    <w:rsid w:val="0075635D"/>
    <w:rsid w:val="0077567F"/>
    <w:rsid w:val="007A7CBF"/>
    <w:rsid w:val="007C0521"/>
    <w:rsid w:val="007E5AA2"/>
    <w:rsid w:val="007E76BC"/>
    <w:rsid w:val="0084445B"/>
    <w:rsid w:val="00854E3A"/>
    <w:rsid w:val="00863506"/>
    <w:rsid w:val="00881687"/>
    <w:rsid w:val="0089549C"/>
    <w:rsid w:val="00921F92"/>
    <w:rsid w:val="009C1A4E"/>
    <w:rsid w:val="00A11EAF"/>
    <w:rsid w:val="00A637F9"/>
    <w:rsid w:val="00A867A1"/>
    <w:rsid w:val="00AD2F9C"/>
    <w:rsid w:val="00AD4091"/>
    <w:rsid w:val="00BA372E"/>
    <w:rsid w:val="00C00645"/>
    <w:rsid w:val="00D07852"/>
    <w:rsid w:val="00D40676"/>
    <w:rsid w:val="00D54BDF"/>
    <w:rsid w:val="00E902CF"/>
    <w:rsid w:val="00EB5EFB"/>
    <w:rsid w:val="00F8659A"/>
    <w:rsid w:val="00FD173C"/>
    <w:rsid w:val="00FF7F9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57B15"/>
  <w15:chartTrackingRefBased/>
  <w15:docId w15:val="{48B73869-7EC0-4455-8219-C86636C1A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abic Typesetting" w:eastAsiaTheme="minorHAnsi" w:hAnsi="Arabic Typesetting" w:cs="Arabic Typesetting"/>
        <w:sz w:val="32"/>
        <w:szCs w:val="32"/>
        <w:lang w:val="en-GB" w:eastAsia="en-US" w:bidi="ar-SA"/>
      </w:rPr>
    </w:rPrDefault>
    <w:pPrDefault>
      <w:pPr>
        <w:bidi/>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3C9A"/>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0676"/>
    <w:pPr>
      <w:ind w:left="720"/>
      <w:contextualSpacing/>
    </w:pPr>
  </w:style>
  <w:style w:type="paragraph" w:styleId="Header">
    <w:name w:val="header"/>
    <w:basedOn w:val="Normal"/>
    <w:link w:val="HeaderChar"/>
    <w:uiPriority w:val="99"/>
    <w:unhideWhenUsed/>
    <w:rsid w:val="004A4704"/>
    <w:pPr>
      <w:tabs>
        <w:tab w:val="center" w:pos="4513"/>
        <w:tab w:val="right" w:pos="9026"/>
      </w:tabs>
      <w:spacing w:after="0"/>
    </w:pPr>
  </w:style>
  <w:style w:type="character" w:customStyle="1" w:styleId="HeaderChar">
    <w:name w:val="Header Char"/>
    <w:basedOn w:val="DefaultParagraphFont"/>
    <w:link w:val="Header"/>
    <w:uiPriority w:val="99"/>
    <w:rsid w:val="004A4704"/>
  </w:style>
  <w:style w:type="paragraph" w:styleId="Footer">
    <w:name w:val="footer"/>
    <w:basedOn w:val="Normal"/>
    <w:link w:val="FooterChar"/>
    <w:uiPriority w:val="99"/>
    <w:unhideWhenUsed/>
    <w:rsid w:val="004A4704"/>
    <w:pPr>
      <w:tabs>
        <w:tab w:val="center" w:pos="4513"/>
        <w:tab w:val="right" w:pos="9026"/>
      </w:tabs>
      <w:spacing w:after="0"/>
    </w:pPr>
  </w:style>
  <w:style w:type="character" w:customStyle="1" w:styleId="FooterChar">
    <w:name w:val="Footer Char"/>
    <w:basedOn w:val="DefaultParagraphFont"/>
    <w:link w:val="Footer"/>
    <w:uiPriority w:val="99"/>
    <w:rsid w:val="004A4704"/>
  </w:style>
  <w:style w:type="paragraph" w:styleId="BalloonText">
    <w:name w:val="Balloon Text"/>
    <w:basedOn w:val="Normal"/>
    <w:link w:val="BalloonTextChar"/>
    <w:uiPriority w:val="99"/>
    <w:semiHidden/>
    <w:unhideWhenUsed/>
    <w:rsid w:val="00921F92"/>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F92"/>
    <w:rPr>
      <w:rFonts w:ascii="Segoe UI" w:hAnsi="Segoe UI" w:cs="Segoe UI"/>
      <w:sz w:val="18"/>
      <w:szCs w:val="18"/>
    </w:rPr>
  </w:style>
  <w:style w:type="paragraph" w:customStyle="1" w:styleId="Indent1">
    <w:name w:val="Indent 1"/>
    <w:basedOn w:val="Normal"/>
    <w:rsid w:val="00A11EAF"/>
    <w:pPr>
      <w:tabs>
        <w:tab w:val="left" w:pos="396"/>
        <w:tab w:val="left" w:pos="741"/>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s>
      <w:overflowPunct w:val="0"/>
      <w:autoSpaceDE w:val="0"/>
      <w:autoSpaceDN w:val="0"/>
      <w:bidi w:val="0"/>
      <w:adjustRightInd w:val="0"/>
      <w:spacing w:after="0"/>
      <w:ind w:left="396" w:hanging="396"/>
      <w:jc w:val="both"/>
      <w:textAlignment w:val="baseline"/>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11EAF"/>
    <w:rPr>
      <w:color w:val="0563C1" w:themeColor="hyperlink"/>
      <w:u w:val="single"/>
    </w:rPr>
  </w:style>
  <w:style w:type="character" w:styleId="UnresolvedMention">
    <w:name w:val="Unresolved Mention"/>
    <w:basedOn w:val="DefaultParagraphFont"/>
    <w:uiPriority w:val="99"/>
    <w:semiHidden/>
    <w:unhideWhenUsed/>
    <w:rsid w:val="00A11E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iziana.bonzon@ifrc.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cotroneo@icrc.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F74D645D0C564AAF7206781B980A0F" ma:contentTypeVersion="13" ma:contentTypeDescription="Create a new document." ma:contentTypeScope="" ma:versionID="a258f5f915f01cb50c6101e664eff815">
  <xsd:schema xmlns:xsd="http://www.w3.org/2001/XMLSchema" xmlns:xs="http://www.w3.org/2001/XMLSchema" xmlns:p="http://schemas.microsoft.com/office/2006/metadata/properties" xmlns:ns1="http://schemas.microsoft.com/sharepoint/v3" xmlns:ns3="820b9ecf-aec0-4b51-9427-a028a017911f" xmlns:ns4="544f78ef-73c2-472f-9a16-9d4de13ceb1d" targetNamespace="http://schemas.microsoft.com/office/2006/metadata/properties" ma:root="true" ma:fieldsID="9c9e25f5f793a501292befcf6900eeba" ns1:_="" ns3:_="" ns4:_="">
    <xsd:import namespace="http://schemas.microsoft.com/sharepoint/v3"/>
    <xsd:import namespace="820b9ecf-aec0-4b51-9427-a028a017911f"/>
    <xsd:import namespace="544f78ef-73c2-472f-9a16-9d4de13ceb1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1:_ip_UnifiedCompliancePolicyProperties" minOccurs="0"/>
                <xsd:element ref="ns1:_ip_UnifiedCompliancePolicyUIAction"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0b9ecf-aec0-4b51-9427-a028a017911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4f78ef-73c2-472f-9a16-9d4de13ceb1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C49CE71-37B1-4CD3-B811-3FE5510D5A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0b9ecf-aec0-4b51-9427-a028a017911f"/>
    <ds:schemaRef ds:uri="544f78ef-73c2-472f-9a16-9d4de13ceb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D0C9BF-6419-444F-9DDF-0C0AD712D0C3}">
  <ds:schemaRefs>
    <ds:schemaRef ds:uri="http://schemas.microsoft.com/sharepoint/v3/contenttype/forms"/>
  </ds:schemaRefs>
</ds:datastoreItem>
</file>

<file path=customXml/itemProps3.xml><?xml version="1.0" encoding="utf-8"?>
<ds:datastoreItem xmlns:ds="http://schemas.openxmlformats.org/officeDocument/2006/customXml" ds:itemID="{1D60A714-1678-482E-A872-00B12FED9F84}">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1229</Words>
  <Characters>7009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 BAKIR</dc:creator>
  <cp:keywords/>
  <dc:description/>
  <cp:lastModifiedBy>Eva Zanardi</cp:lastModifiedBy>
  <cp:revision>2</cp:revision>
  <cp:lastPrinted>2019-11-27T14:36:00Z</cp:lastPrinted>
  <dcterms:created xsi:type="dcterms:W3CDTF">2019-12-02T11:49:00Z</dcterms:created>
  <dcterms:modified xsi:type="dcterms:W3CDTF">2019-12-02T11:49:00Z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0x01010026F74D645D0C564AAF7206781B980A0F</vt:lpwstr>
  </property>
</Properties>
</file>