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38" w:rsidRPr="00044203" w:rsidRDefault="006E5138" w:rsidP="009C0D65">
      <w:pPr>
        <w:pStyle w:val="BodySingle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9C0D65" w:rsidRPr="00044203" w:rsidRDefault="009C0D65" w:rsidP="009C0D65">
      <w:pPr>
        <w:pStyle w:val="BodySingle"/>
        <w:jc w:val="center"/>
        <w:rPr>
          <w:rFonts w:cs="Arial"/>
          <w:sz w:val="22"/>
          <w:szCs w:val="22"/>
        </w:rPr>
      </w:pPr>
    </w:p>
    <w:p w:rsidR="005C4193" w:rsidRPr="00044203" w:rsidRDefault="006F5B46" w:rsidP="009C0D65">
      <w:pPr>
        <w:pStyle w:val="BodySingle"/>
        <w:jc w:val="center"/>
        <w:rPr>
          <w:rFonts w:cs="Arial"/>
          <w:sz w:val="22"/>
          <w:szCs w:val="22"/>
        </w:rPr>
      </w:pPr>
      <w:r>
        <w:rPr>
          <w:noProof/>
          <w:lang w:val="fr-CH" w:eastAsia="fr-CH"/>
        </w:rPr>
        <w:drawing>
          <wp:inline distT="0" distB="0" distL="0" distR="0" wp14:anchorId="15ED9383" wp14:editId="5640D4B7">
            <wp:extent cx="3604260" cy="9220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93" w:rsidRPr="00044203" w:rsidRDefault="005C4193" w:rsidP="009C0D65">
      <w:pPr>
        <w:pStyle w:val="BodySingle"/>
        <w:jc w:val="center"/>
        <w:rPr>
          <w:rFonts w:cs="Arial"/>
          <w:sz w:val="22"/>
          <w:szCs w:val="22"/>
        </w:rPr>
      </w:pPr>
    </w:p>
    <w:p w:rsidR="00666562" w:rsidRPr="00044203" w:rsidRDefault="00622E87" w:rsidP="00E031B4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Promesa tipo</w:t>
      </w:r>
    </w:p>
    <w:p w:rsidR="00213029" w:rsidRPr="00044203" w:rsidRDefault="00213029" w:rsidP="006F02A4">
      <w:pPr>
        <w:pStyle w:val="Indent1"/>
        <w:rPr>
          <w:rFonts w:ascii="Arial" w:hAnsi="Arial" w:cs="Arial"/>
          <w:sz w:val="22"/>
          <w:szCs w:val="22"/>
        </w:rPr>
      </w:pPr>
    </w:p>
    <w:p w:rsidR="00AF7A8D" w:rsidRPr="00044203" w:rsidRDefault="00AF7A8D" w:rsidP="00C63670">
      <w:pPr>
        <w:jc w:val="both"/>
        <w:rPr>
          <w:rFonts w:ascii="Arial" w:hAnsi="Arial" w:cs="Arial"/>
          <w:b/>
          <w:i/>
          <w:color w:val="2F5496"/>
          <w:sz w:val="22"/>
          <w:szCs w:val="22"/>
        </w:rPr>
      </w:pPr>
    </w:p>
    <w:p w:rsidR="00AF7A8D" w:rsidRPr="00044203" w:rsidRDefault="00622E87" w:rsidP="00622E87">
      <w:pPr>
        <w:pStyle w:val="Heading1"/>
      </w:pPr>
      <w:r>
        <w:t>Título de la promesa tipo:</w:t>
      </w:r>
    </w:p>
    <w:p w:rsidR="00B36BAF" w:rsidRPr="00044203" w:rsidRDefault="00B36BAF" w:rsidP="00622E87">
      <w:pPr>
        <w:pStyle w:val="Indent1"/>
        <w:rPr>
          <w:rFonts w:ascii="Arial" w:hAnsi="Arial" w:cs="Arial"/>
          <w:i/>
          <w:color w:val="2F5496"/>
          <w:sz w:val="22"/>
          <w:szCs w:val="22"/>
        </w:rPr>
      </w:pPr>
    </w:p>
    <w:p w:rsidR="005C4193" w:rsidRPr="00044203" w:rsidRDefault="00E078B4" w:rsidP="007A0596">
      <w:pPr>
        <w:pStyle w:val="Indent1"/>
        <w:keepLines/>
        <w:ind w:left="0" w:right="-57" w:firstLine="0"/>
        <w:rPr>
          <w:rFonts w:ascii="Arial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Protección de la acción humanitaria basada en principios de los efectos colaterales de medidas antiterroristas y de regímenes de sanciones.</w:t>
      </w:r>
    </w:p>
    <w:p w:rsidR="00E031B4" w:rsidRPr="00044203" w:rsidRDefault="00E031B4" w:rsidP="00622E87">
      <w:pPr>
        <w:pStyle w:val="Indent1"/>
        <w:rPr>
          <w:rFonts w:ascii="Arial" w:hAnsi="Arial" w:cs="Arial"/>
          <w:sz w:val="22"/>
          <w:szCs w:val="22"/>
        </w:rPr>
      </w:pPr>
    </w:p>
    <w:p w:rsidR="008F0B94" w:rsidRPr="00044203" w:rsidRDefault="008F0B94" w:rsidP="008F0B94">
      <w:pPr>
        <w:pStyle w:val="Indent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Tema(s) de la Conferencia Internacional relacionados con esta promesa:</w:t>
      </w:r>
    </w:p>
    <w:p w:rsidR="00E75C9F" w:rsidRPr="00044203" w:rsidRDefault="00E75C9F" w:rsidP="008F0B94">
      <w:pPr>
        <w:pStyle w:val="Indent1"/>
        <w:rPr>
          <w:rFonts w:ascii="Arial" w:hAnsi="Arial" w:cs="Arial"/>
          <w:b/>
          <w:sz w:val="22"/>
          <w:szCs w:val="22"/>
        </w:rPr>
      </w:pPr>
    </w:p>
    <w:p w:rsidR="008F0B94" w:rsidRPr="00044203" w:rsidRDefault="008F0B94" w:rsidP="008F0B94">
      <w:pPr>
        <w:jc w:val="both"/>
        <w:rPr>
          <w:rFonts w:ascii="Arial" w:hAnsi="Arial"/>
          <w:i/>
          <w:color w:val="2F5496"/>
          <w:sz w:val="22"/>
          <w:szCs w:val="22"/>
        </w:rPr>
      </w:pPr>
      <w:bookmarkStart w:id="1" w:name="_Hlk6308833"/>
      <w:r>
        <w:rPr>
          <w:rFonts w:ascii="Arial" w:hAnsi="Arial"/>
          <w:i/>
          <w:color w:val="2F5496"/>
          <w:sz w:val="22"/>
          <w:szCs w:val="22"/>
        </w:rPr>
        <w:t xml:space="preserve">Esta promesa se relaciona con los siguientes temas de la XXXIII Conferencia Internacional: (1) </w:t>
      </w:r>
      <w:r w:rsidR="008E2921">
        <w:rPr>
          <w:rFonts w:ascii="Arial" w:hAnsi="Arial"/>
          <w:i/>
          <w:color w:val="2F5496"/>
          <w:sz w:val="22"/>
          <w:szCs w:val="22"/>
        </w:rPr>
        <w:t xml:space="preserve">la </w:t>
      </w:r>
      <w:r>
        <w:rPr>
          <w:rFonts w:ascii="Arial" w:hAnsi="Arial"/>
          <w:i/>
          <w:color w:val="2F5496"/>
          <w:sz w:val="22"/>
          <w:szCs w:val="22"/>
        </w:rPr>
        <w:t xml:space="preserve">confianza en la labor humanitaria; y (2) </w:t>
      </w:r>
      <w:r w:rsidR="008E2921">
        <w:rPr>
          <w:rFonts w:ascii="Arial" w:hAnsi="Arial"/>
          <w:i/>
          <w:color w:val="2F5496"/>
          <w:sz w:val="22"/>
          <w:szCs w:val="22"/>
        </w:rPr>
        <w:t xml:space="preserve">el </w:t>
      </w:r>
      <w:r>
        <w:rPr>
          <w:rFonts w:ascii="Arial" w:hAnsi="Arial"/>
          <w:i/>
          <w:color w:val="2F5496"/>
          <w:sz w:val="22"/>
          <w:szCs w:val="22"/>
        </w:rPr>
        <w:t xml:space="preserve">respeto </w:t>
      </w:r>
      <w:r w:rsidR="008E2921">
        <w:rPr>
          <w:rFonts w:ascii="Arial" w:hAnsi="Arial"/>
          <w:i/>
          <w:color w:val="2F5496"/>
          <w:sz w:val="22"/>
          <w:szCs w:val="22"/>
        </w:rPr>
        <w:t>y la</w:t>
      </w:r>
      <w:r>
        <w:rPr>
          <w:rFonts w:ascii="Arial" w:hAnsi="Arial"/>
          <w:i/>
          <w:color w:val="2F5496"/>
          <w:sz w:val="22"/>
          <w:szCs w:val="22"/>
        </w:rPr>
        <w:t xml:space="preserve"> implementación del derecho internacional humanitario (DIH), así como el informe</w:t>
      </w:r>
      <w:r w:rsidR="006F5B46">
        <w:rPr>
          <w:rFonts w:ascii="Arial" w:hAnsi="Arial"/>
          <w:i/>
          <w:color w:val="2F5496"/>
          <w:sz w:val="22"/>
          <w:szCs w:val="22"/>
        </w:rPr>
        <w:t>,</w:t>
      </w:r>
      <w:r w:rsidR="008E2921">
        <w:rPr>
          <w:rFonts w:ascii="Arial" w:hAnsi="Arial"/>
          <w:i/>
          <w:color w:val="2F5496"/>
          <w:sz w:val="22"/>
          <w:szCs w:val="22"/>
        </w:rPr>
        <w:t xml:space="preserve"> que se presentará ante la Conferencia Internacional</w:t>
      </w:r>
      <w:r w:rsidR="006F5B46">
        <w:rPr>
          <w:rFonts w:ascii="Arial" w:hAnsi="Arial"/>
          <w:i/>
          <w:color w:val="2F5496"/>
          <w:sz w:val="22"/>
          <w:szCs w:val="22"/>
        </w:rPr>
        <w:t>,</w:t>
      </w:r>
      <w:r w:rsidR="008E2921">
        <w:rPr>
          <w:rFonts w:ascii="Arial" w:hAnsi="Arial"/>
          <w:i/>
          <w:color w:val="2F5496"/>
          <w:sz w:val="22"/>
          <w:szCs w:val="22"/>
        </w:rPr>
        <w:t xml:space="preserve"> </w:t>
      </w:r>
      <w:r>
        <w:rPr>
          <w:rFonts w:ascii="Arial" w:hAnsi="Arial"/>
          <w:i/>
          <w:color w:val="2F5496"/>
          <w:sz w:val="22"/>
          <w:szCs w:val="22"/>
        </w:rPr>
        <w:t>sobre el DIH y los desafíos de los conflictos armados contemporáneos</w:t>
      </w:r>
      <w:r w:rsidR="008E2921">
        <w:rPr>
          <w:rFonts w:ascii="Arial" w:hAnsi="Arial"/>
          <w:i/>
          <w:color w:val="2F5496"/>
          <w:sz w:val="22"/>
          <w:szCs w:val="22"/>
        </w:rPr>
        <w:t>.</w:t>
      </w:r>
      <w:bookmarkEnd w:id="1"/>
    </w:p>
    <w:p w:rsidR="00DD5A0C" w:rsidRPr="00044203" w:rsidRDefault="00DD5A0C" w:rsidP="00DD5A0C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ind w:left="0" w:firstLine="0"/>
        <w:rPr>
          <w:rFonts w:ascii="Arial" w:hAnsi="Arial"/>
          <w:highlight w:val="yellow"/>
        </w:rPr>
      </w:pPr>
    </w:p>
    <w:p w:rsidR="008F0B94" w:rsidRDefault="008F0B94" w:rsidP="008F0B94">
      <w:pPr>
        <w:pStyle w:val="Indent1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Promesa para el período 2019-2023:</w:t>
      </w:r>
      <w:r>
        <w:rPr>
          <w:rFonts w:ascii="Arial" w:hAnsi="Arial"/>
          <w:sz w:val="22"/>
          <w:szCs w:val="22"/>
        </w:rPr>
        <w:t xml:space="preserve"> </w:t>
      </w:r>
    </w:p>
    <w:p w:rsidR="00DD5A0C" w:rsidRPr="00044203" w:rsidRDefault="00DD5A0C" w:rsidP="008F0B94">
      <w:pPr>
        <w:pStyle w:val="Indent1"/>
        <w:ind w:left="0" w:firstLine="0"/>
        <w:rPr>
          <w:rFonts w:ascii="Arial" w:hAnsi="Arial" w:cs="Arial"/>
          <w:sz w:val="22"/>
          <w:szCs w:val="22"/>
        </w:rPr>
      </w:pPr>
    </w:p>
    <w:p w:rsidR="000E1031" w:rsidRPr="00044203" w:rsidRDefault="000E1031" w:rsidP="000E1031">
      <w:pPr>
        <w:jc w:val="both"/>
        <w:rPr>
          <w:rFonts w:ascii="Arial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En los últimos años, se ha observado el surgimiento de medidas antiterroristas y de regímenes de sanciones elaborados por los Estados y las organizaciones internacionales. La experiencia y la práctica en diversas situaciones de conflicto armado han demostrado que las medidas antiterroristas y los regímenes de sanciones han tenido un impacto adverso en el despliegue de actividades humanitarias y de la acción humanitaria basada en principios, en particular</w:t>
      </w:r>
      <w:r w:rsidR="008E2921">
        <w:rPr>
          <w:rFonts w:ascii="Arial" w:hAnsi="Arial"/>
          <w:i/>
          <w:color w:val="2F5496"/>
          <w:sz w:val="22"/>
          <w:szCs w:val="22"/>
        </w:rPr>
        <w:t>,</w:t>
      </w:r>
      <w:r>
        <w:rPr>
          <w:rFonts w:ascii="Arial" w:hAnsi="Arial"/>
          <w:i/>
          <w:color w:val="2F5496"/>
          <w:sz w:val="22"/>
          <w:szCs w:val="22"/>
        </w:rPr>
        <w:t xml:space="preserve"> al obstruir la interacción con todas las partes interesadas y obstaculizar el acceso a las personas más vulnerables.</w:t>
      </w:r>
    </w:p>
    <w:p w:rsidR="008F0B94" w:rsidRPr="00044203" w:rsidRDefault="00F97686" w:rsidP="008F0B94">
      <w:pPr>
        <w:jc w:val="both"/>
        <w:rPr>
          <w:rFonts w:ascii="Arial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El DIH contiene normas que protegen </w:t>
      </w:r>
      <w:bookmarkStart w:id="2" w:name="_Hlk21453526"/>
      <w:r>
        <w:rPr>
          <w:rFonts w:ascii="Arial" w:hAnsi="Arial"/>
          <w:i/>
          <w:color w:val="2F5496"/>
          <w:sz w:val="22"/>
          <w:szCs w:val="22"/>
        </w:rPr>
        <w:t>las actividades humanitarias realizadas por organizaciones humanitarias imparciales</w:t>
      </w:r>
      <w:bookmarkEnd w:id="2"/>
      <w:r>
        <w:rPr>
          <w:rFonts w:ascii="Arial" w:hAnsi="Arial"/>
          <w:i/>
          <w:color w:val="2F5496"/>
          <w:sz w:val="22"/>
          <w:szCs w:val="22"/>
        </w:rPr>
        <w:t xml:space="preserve">. Un mejor respeto por estas </w:t>
      </w:r>
      <w:r w:rsidR="008E2921">
        <w:rPr>
          <w:rFonts w:ascii="Arial" w:hAnsi="Arial"/>
          <w:i/>
          <w:color w:val="2F5496"/>
          <w:sz w:val="22"/>
          <w:szCs w:val="22"/>
        </w:rPr>
        <w:t>normas</w:t>
      </w:r>
      <w:r>
        <w:rPr>
          <w:rFonts w:ascii="Arial" w:hAnsi="Arial"/>
          <w:i/>
          <w:color w:val="2F5496"/>
          <w:sz w:val="22"/>
          <w:szCs w:val="22"/>
        </w:rPr>
        <w:t xml:space="preserve"> puede atenuar los efectos adversos </w:t>
      </w:r>
      <w:r w:rsidR="00DD5A0C">
        <w:rPr>
          <w:rFonts w:ascii="Arial" w:hAnsi="Arial"/>
          <w:i/>
          <w:color w:val="2F5496"/>
          <w:sz w:val="22"/>
          <w:szCs w:val="22"/>
        </w:rPr>
        <w:t xml:space="preserve">–sobre la acción humanitaria basada en principios– </w:t>
      </w:r>
      <w:r>
        <w:rPr>
          <w:rFonts w:ascii="Arial" w:hAnsi="Arial"/>
          <w:i/>
          <w:color w:val="2F5496"/>
          <w:sz w:val="22"/>
          <w:szCs w:val="22"/>
        </w:rPr>
        <w:t>de las medidas antiterroristas y de los regímenes de sanciones.</w:t>
      </w:r>
    </w:p>
    <w:p w:rsidR="008F0B94" w:rsidRPr="00044203" w:rsidRDefault="008F0B94" w:rsidP="008F0B94">
      <w:pPr>
        <w:pStyle w:val="Indent1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8F0B94" w:rsidP="008F0B94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Objetivos de la promesa</w:t>
      </w:r>
    </w:p>
    <w:p w:rsidR="008F0B94" w:rsidRPr="00044203" w:rsidRDefault="008F0B94" w:rsidP="008F0B94">
      <w:pPr>
        <w:jc w:val="both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8F0B94" w:rsidP="008F0B94">
      <w:pPr>
        <w:jc w:val="both"/>
        <w:rPr>
          <w:rFonts w:ascii="Arial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El objetivo de esta promesa es proteger mejor la acción humanitaria basada en principios en los conflictos armados garantizando que las medidas antiterroristas y los regímenes de sanciones establecidos por los Estados a nivel nacional, regional e internacional cumplan con las normas aplicables del DIH que protegen las actividades exclusivamente humanitarias </w:t>
      </w:r>
      <w:r w:rsidR="008E2921">
        <w:rPr>
          <w:rFonts w:ascii="Arial" w:hAnsi="Arial"/>
          <w:i/>
          <w:color w:val="2F5496"/>
          <w:sz w:val="22"/>
          <w:szCs w:val="22"/>
        </w:rPr>
        <w:t>realizadas</w:t>
      </w:r>
      <w:r>
        <w:rPr>
          <w:rFonts w:ascii="Arial" w:hAnsi="Arial"/>
          <w:i/>
          <w:color w:val="2F5496"/>
          <w:sz w:val="22"/>
          <w:szCs w:val="22"/>
        </w:rPr>
        <w:t xml:space="preserve"> por organizaciones humanitarias imparciales, en particular, mediante la promoción, implementación e integración de estas normas en los marcos y las políticas nacionales. </w:t>
      </w:r>
    </w:p>
    <w:p w:rsidR="008F0B94" w:rsidRPr="00044203" w:rsidRDefault="008F0B94" w:rsidP="008F0B94">
      <w:pPr>
        <w:jc w:val="both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8F0B94" w:rsidP="008F0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[El Gobierno/la Sociedad Nacional </w:t>
      </w:r>
      <w:r w:rsidR="00DD5A0C">
        <w:rPr>
          <w:rFonts w:ascii="Arial" w:hAnsi="Arial"/>
          <w:i/>
          <w:color w:val="2F5496"/>
          <w:sz w:val="22"/>
          <w:szCs w:val="22"/>
        </w:rPr>
        <w:t xml:space="preserve">de [PAÍS] </w:t>
      </w:r>
      <w:r>
        <w:rPr>
          <w:rFonts w:ascii="Arial" w:hAnsi="Arial"/>
          <w:i/>
          <w:color w:val="2F5496"/>
          <w:sz w:val="22"/>
          <w:szCs w:val="22"/>
        </w:rPr>
        <w:t xml:space="preserve">se compromete/El/Los Gobierno/s y la/s Sociedad/es Nacional/es de [PAÍS/REGIÓN] se compromete/n conjuntamente] a adoptar las siguientes medidas para que se respeten las normas del DIH que protegen la acción humanitaria basada en principios al tiempo que adoptan medidas antiterroristas y establecen regímenes de sanciones: </w:t>
      </w:r>
      <w:r>
        <w:rPr>
          <w:rFonts w:ascii="Arial" w:hAnsi="Arial"/>
          <w:i/>
          <w:color w:val="2F5496"/>
          <w:sz w:val="22"/>
          <w:szCs w:val="22"/>
        </w:rPr>
        <w:br/>
        <w:t>[Los Estados y las Sociedades Nacionales pueden adaptar esta promesa en función de su propio contexto</w:t>
      </w:r>
      <w:r w:rsidR="008E2921">
        <w:rPr>
          <w:rFonts w:ascii="Arial" w:hAnsi="Arial"/>
          <w:i/>
          <w:color w:val="2F5496"/>
          <w:sz w:val="22"/>
          <w:szCs w:val="22"/>
        </w:rPr>
        <w:t>,</w:t>
      </w:r>
      <w:r>
        <w:rPr>
          <w:rFonts w:ascii="Arial" w:hAnsi="Arial"/>
          <w:i/>
          <w:color w:val="2F5496"/>
          <w:sz w:val="22"/>
          <w:szCs w:val="22"/>
        </w:rPr>
        <w:t xml:space="preserve"> seleccionando los objetivos que deseen entre los propuestos en la lista que figura a continuación o agregando otros objetivos no enumerados aquí.]</w:t>
      </w:r>
    </w:p>
    <w:p w:rsidR="008F0B94" w:rsidRPr="00044203" w:rsidRDefault="008F0B94" w:rsidP="008F0B94">
      <w:pPr>
        <w:jc w:val="both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D774CA" w:rsidP="008F0B9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lastRenderedPageBreak/>
        <w:t xml:space="preserve">adoptar todas las medidas legislativas, </w:t>
      </w:r>
      <w:r w:rsidR="00DD763D">
        <w:rPr>
          <w:rFonts w:ascii="Arial" w:hAnsi="Arial"/>
          <w:i/>
          <w:color w:val="2F5496"/>
          <w:sz w:val="22"/>
          <w:szCs w:val="22"/>
        </w:rPr>
        <w:t>regulatorias</w:t>
      </w:r>
      <w:r>
        <w:rPr>
          <w:rFonts w:ascii="Arial" w:hAnsi="Arial"/>
          <w:i/>
          <w:color w:val="2F5496"/>
          <w:sz w:val="22"/>
          <w:szCs w:val="22"/>
        </w:rPr>
        <w:t xml:space="preserve"> y prácticas necesarias para garantizar que las medidas antiterroristas y los regímenes de sanciones a nivel nacional cumplan con las normas del DIH pertinentes para la protección de las actividades humanitarias llevadas a cabo por actores humanitarios imparciales;</w:t>
      </w:r>
    </w:p>
    <w:p w:rsidR="008F0B94" w:rsidRPr="00044203" w:rsidRDefault="00676332" w:rsidP="00676332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incluir </w:t>
      </w:r>
      <w:r w:rsidR="00DD5A0C">
        <w:rPr>
          <w:rFonts w:ascii="Arial" w:hAnsi="Arial"/>
          <w:i/>
          <w:color w:val="2F5496"/>
          <w:sz w:val="22"/>
          <w:szCs w:val="22"/>
        </w:rPr>
        <w:t xml:space="preserve">sistemáticamente </w:t>
      </w:r>
      <w:r>
        <w:rPr>
          <w:rFonts w:ascii="Arial" w:hAnsi="Arial"/>
          <w:i/>
          <w:color w:val="2F5496"/>
          <w:sz w:val="22"/>
          <w:szCs w:val="22"/>
        </w:rPr>
        <w:t>exenciones humanitarias –o medidas de mitigación similares–</w:t>
      </w:r>
      <w:r w:rsidR="00DD5A0C">
        <w:rPr>
          <w:rFonts w:ascii="Arial" w:hAnsi="Arial"/>
          <w:i/>
          <w:color w:val="2F5496"/>
          <w:sz w:val="22"/>
          <w:szCs w:val="22"/>
        </w:rPr>
        <w:t xml:space="preserve"> </w:t>
      </w:r>
      <w:r>
        <w:rPr>
          <w:rFonts w:ascii="Arial" w:hAnsi="Arial"/>
          <w:i/>
          <w:color w:val="2F5496"/>
          <w:sz w:val="22"/>
          <w:szCs w:val="22"/>
        </w:rPr>
        <w:t xml:space="preserve">en </w:t>
      </w:r>
      <w:r w:rsidR="00913A04">
        <w:rPr>
          <w:rFonts w:ascii="Arial" w:hAnsi="Arial"/>
          <w:i/>
          <w:color w:val="2F5496"/>
          <w:sz w:val="22"/>
          <w:szCs w:val="22"/>
        </w:rPr>
        <w:t xml:space="preserve">las </w:t>
      </w:r>
      <w:r>
        <w:rPr>
          <w:rFonts w:ascii="Arial" w:hAnsi="Arial"/>
          <w:i/>
          <w:color w:val="2F5496"/>
          <w:sz w:val="22"/>
          <w:szCs w:val="22"/>
        </w:rPr>
        <w:t xml:space="preserve">medidas antiterroristas y </w:t>
      </w:r>
      <w:r w:rsidR="00913A04">
        <w:rPr>
          <w:rFonts w:ascii="Arial" w:hAnsi="Arial"/>
          <w:i/>
          <w:color w:val="2F5496"/>
          <w:sz w:val="22"/>
          <w:szCs w:val="22"/>
        </w:rPr>
        <w:t xml:space="preserve">los </w:t>
      </w:r>
      <w:r>
        <w:rPr>
          <w:rFonts w:ascii="Arial" w:hAnsi="Arial"/>
          <w:i/>
          <w:color w:val="2F5496"/>
          <w:sz w:val="22"/>
          <w:szCs w:val="22"/>
        </w:rPr>
        <w:t xml:space="preserve">regímenes de sanciones nacionales; tales medidas de mitigación tendrán como objetivo </w:t>
      </w:r>
      <w:r w:rsidR="00523CCC">
        <w:rPr>
          <w:rFonts w:ascii="Arial" w:hAnsi="Arial"/>
          <w:i/>
          <w:color w:val="2F5496"/>
          <w:sz w:val="22"/>
          <w:szCs w:val="22"/>
        </w:rPr>
        <w:t xml:space="preserve">que </w:t>
      </w:r>
      <w:r>
        <w:rPr>
          <w:rFonts w:ascii="Arial" w:hAnsi="Arial"/>
          <w:i/>
          <w:color w:val="2F5496"/>
          <w:sz w:val="22"/>
          <w:szCs w:val="22"/>
        </w:rPr>
        <w:t xml:space="preserve">las actividades humanitarias emprendidas por organizaciones humanitarias imparciales </w:t>
      </w:r>
      <w:r w:rsidR="00523CCC">
        <w:rPr>
          <w:rFonts w:ascii="Arial" w:hAnsi="Arial"/>
          <w:i/>
          <w:color w:val="2F5496"/>
          <w:sz w:val="22"/>
          <w:szCs w:val="22"/>
        </w:rPr>
        <w:t xml:space="preserve">queden excluidas </w:t>
      </w:r>
      <w:r>
        <w:rPr>
          <w:rFonts w:ascii="Arial" w:hAnsi="Arial"/>
          <w:i/>
          <w:color w:val="2F5496"/>
          <w:sz w:val="22"/>
          <w:szCs w:val="22"/>
        </w:rPr>
        <w:t xml:space="preserve">del ámbito de aplicación de las medidas y </w:t>
      </w:r>
      <w:r w:rsidR="00523CCC">
        <w:rPr>
          <w:rFonts w:ascii="Arial" w:hAnsi="Arial"/>
          <w:i/>
          <w:color w:val="2F5496"/>
          <w:sz w:val="22"/>
          <w:szCs w:val="22"/>
        </w:rPr>
        <w:t xml:space="preserve">las </w:t>
      </w:r>
      <w:r>
        <w:rPr>
          <w:rFonts w:ascii="Arial" w:hAnsi="Arial"/>
          <w:i/>
          <w:color w:val="2F5496"/>
          <w:sz w:val="22"/>
          <w:szCs w:val="22"/>
        </w:rPr>
        <w:t>regulaciones antiterroristas y/o rela</w:t>
      </w:r>
      <w:r w:rsidR="00523CCC">
        <w:rPr>
          <w:rFonts w:ascii="Arial" w:hAnsi="Arial"/>
          <w:i/>
          <w:color w:val="2F5496"/>
          <w:sz w:val="22"/>
          <w:szCs w:val="22"/>
        </w:rPr>
        <w:t>tivas a</w:t>
      </w:r>
      <w:r>
        <w:rPr>
          <w:rFonts w:ascii="Arial" w:hAnsi="Arial"/>
          <w:i/>
          <w:color w:val="2F5496"/>
          <w:sz w:val="22"/>
          <w:szCs w:val="22"/>
        </w:rPr>
        <w:t xml:space="preserve"> sanciones;</w:t>
      </w:r>
    </w:p>
    <w:p w:rsidR="009110C9" w:rsidRPr="00044203" w:rsidRDefault="00D774CA" w:rsidP="00676332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asegurar que la legislación nacional no penalice la prestación de actividades humanitarias</w:t>
      </w:r>
      <w:r w:rsidR="00DD763D">
        <w:rPr>
          <w:rFonts w:ascii="Arial" w:hAnsi="Arial"/>
          <w:i/>
          <w:color w:val="2F5496"/>
          <w:sz w:val="22"/>
          <w:szCs w:val="22"/>
        </w:rPr>
        <w:t xml:space="preserve"> –</w:t>
      </w:r>
      <w:r>
        <w:rPr>
          <w:rFonts w:ascii="Arial" w:hAnsi="Arial"/>
          <w:i/>
          <w:color w:val="2F5496"/>
          <w:sz w:val="22"/>
          <w:szCs w:val="22"/>
        </w:rPr>
        <w:t>entre otras, las actividades médicas</w:t>
      </w:r>
      <w:r w:rsidR="00DD763D">
        <w:rPr>
          <w:rFonts w:ascii="Arial" w:hAnsi="Arial"/>
          <w:i/>
          <w:color w:val="2F5496"/>
          <w:sz w:val="22"/>
          <w:szCs w:val="22"/>
        </w:rPr>
        <w:t>–</w:t>
      </w:r>
      <w:r>
        <w:rPr>
          <w:rFonts w:ascii="Arial" w:hAnsi="Arial"/>
          <w:i/>
          <w:color w:val="2F5496"/>
          <w:sz w:val="22"/>
          <w:szCs w:val="22"/>
        </w:rPr>
        <w:t xml:space="preserve"> que se llevan a cabo de manera conforme al DIH; </w:t>
      </w:r>
    </w:p>
    <w:p w:rsidR="008F0B94" w:rsidRPr="00044203" w:rsidRDefault="00D774CA" w:rsidP="008F0B9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promover, en foros regionales e internacionales, la preservación de la acción humanitaria basada en principios mientras se adoptan medidas antiterroristas y se establecen regímenes de sanciones, en particular, mediante la in</w:t>
      </w:r>
      <w:r w:rsidR="00DD763D">
        <w:rPr>
          <w:rFonts w:ascii="Arial" w:hAnsi="Arial"/>
          <w:i/>
          <w:color w:val="2F5496"/>
          <w:sz w:val="22"/>
          <w:szCs w:val="22"/>
        </w:rPr>
        <w:t xml:space="preserve">corporación, en los marcos regulatorios, </w:t>
      </w:r>
      <w:r>
        <w:rPr>
          <w:rFonts w:ascii="Arial" w:hAnsi="Arial"/>
          <w:i/>
          <w:color w:val="2F5496"/>
          <w:sz w:val="22"/>
          <w:szCs w:val="22"/>
        </w:rPr>
        <w:t>de un lenguaje que salvaguarde la acción humanitaria basada en principios, sobre todo, mediante la inclusión sistemática de exenciones humanitarias o de medidas de mitigación similares;</w:t>
      </w:r>
    </w:p>
    <w:p w:rsidR="008F0B94" w:rsidRPr="00044203" w:rsidRDefault="00D774CA" w:rsidP="00EA277E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solicitar que las medidas antiterroristas y los regímenes de sanciones adoptados a nivel internacional y regional incluyan sistemáticamente evaluaciones de su impacto en la acción humanitaria basada en principios y provean un mandato para informar sobre este impacto;</w:t>
      </w:r>
    </w:p>
    <w:p w:rsidR="00574C1F" w:rsidRPr="00044203" w:rsidRDefault="00D774CA" w:rsidP="00EA277E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elaborar (o solicitar o apoyar la elaboración de) documentos de orientación a nivel nacional, regional e internacional destinados a garantizar que la implementación de medidas antiterroristas y </w:t>
      </w:r>
      <w:r w:rsidR="00DD763D">
        <w:rPr>
          <w:rFonts w:ascii="Arial" w:hAnsi="Arial"/>
          <w:i/>
          <w:color w:val="2F5496"/>
          <w:sz w:val="22"/>
          <w:szCs w:val="22"/>
        </w:rPr>
        <w:t xml:space="preserve">de </w:t>
      </w:r>
      <w:r>
        <w:rPr>
          <w:rFonts w:ascii="Arial" w:hAnsi="Arial"/>
          <w:i/>
          <w:color w:val="2F5496"/>
          <w:sz w:val="22"/>
          <w:szCs w:val="22"/>
        </w:rPr>
        <w:t>regímenes de sanciones sea conforme al DIH y no obstaculice la acción humanitaria basada en principios;</w:t>
      </w:r>
    </w:p>
    <w:p w:rsidR="006E5D88" w:rsidRPr="00044203" w:rsidRDefault="00D774CA" w:rsidP="006E5D88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intercambiar, en foros relevantes, ejemplos de prácticas y medidas idóneas que se pueden adoptar para cumplir las obligaciones del DIH relativas a la protección de las actividades humanitarias realizadas por organizaciones humanitarias imparciales;</w:t>
      </w:r>
    </w:p>
    <w:p w:rsidR="006E5D88" w:rsidRPr="00044203" w:rsidRDefault="00D774CA" w:rsidP="00574C1F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bookmarkStart w:id="3" w:name="_Hlk5373004"/>
      <w:r>
        <w:rPr>
          <w:rFonts w:ascii="Arial" w:hAnsi="Arial"/>
          <w:i/>
          <w:color w:val="2F5496"/>
          <w:sz w:val="22"/>
          <w:szCs w:val="22"/>
        </w:rPr>
        <w:t>crear un grupo de trabajo interinstitucional/interministerial para permitir y apoyar un diálogo eficaz entre las comunidades de</w:t>
      </w:r>
      <w:r w:rsidR="00602827">
        <w:rPr>
          <w:rFonts w:ascii="Arial" w:hAnsi="Arial"/>
          <w:i/>
          <w:color w:val="2F5496"/>
          <w:sz w:val="22"/>
          <w:szCs w:val="22"/>
        </w:rPr>
        <w:t>l ámbito de la</w:t>
      </w:r>
      <w:r>
        <w:rPr>
          <w:rFonts w:ascii="Arial" w:hAnsi="Arial"/>
          <w:i/>
          <w:color w:val="2F5496"/>
          <w:sz w:val="22"/>
          <w:szCs w:val="22"/>
        </w:rPr>
        <w:t xml:space="preserve"> lucha contra el terrorismo/sanciones y las organizaciones humanitarias;</w:t>
      </w:r>
    </w:p>
    <w:p w:rsidR="006E5D88" w:rsidRPr="00044203" w:rsidRDefault="00D774CA" w:rsidP="00574C1F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designar puntos de referencia interministeriales para cuestiones relacionadas con la interacción entre </w:t>
      </w:r>
      <w:r w:rsidR="00602827">
        <w:rPr>
          <w:rFonts w:ascii="Arial" w:hAnsi="Arial"/>
          <w:i/>
          <w:color w:val="2F5496"/>
          <w:sz w:val="22"/>
          <w:szCs w:val="22"/>
        </w:rPr>
        <w:t>las medidas antiterroristas</w:t>
      </w:r>
      <w:r>
        <w:rPr>
          <w:rFonts w:ascii="Arial" w:hAnsi="Arial"/>
          <w:i/>
          <w:color w:val="2F5496"/>
          <w:sz w:val="22"/>
          <w:szCs w:val="22"/>
        </w:rPr>
        <w:t>, los regímenes de sanciones y la acción humanitaria basada en principios;</w:t>
      </w:r>
    </w:p>
    <w:p w:rsidR="008F0B94" w:rsidRPr="00044203" w:rsidRDefault="00D774CA" w:rsidP="00574C1F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asegurar que los acuerdos de financiación firmados entre donantes y organizaciones humanitarias no incluyan cláusulas que obstaculicen la acción humanitaria basada en principios y reflejen una perspectiva de riesgo compartido; y</w:t>
      </w:r>
    </w:p>
    <w:p w:rsidR="006E5D88" w:rsidRPr="004A7AF4" w:rsidRDefault="00D774CA" w:rsidP="00574C1F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facilitar el diálogo entre las instituciones financieras y las organizaciones humanitarias, en particular, con </w:t>
      </w:r>
      <w:r w:rsidR="00DD763D">
        <w:rPr>
          <w:rFonts w:ascii="Arial" w:hAnsi="Arial"/>
          <w:i/>
          <w:color w:val="2F5496"/>
          <w:sz w:val="22"/>
          <w:szCs w:val="22"/>
        </w:rPr>
        <w:t>miras a</w:t>
      </w:r>
      <w:r>
        <w:rPr>
          <w:rFonts w:ascii="Arial" w:hAnsi="Arial"/>
          <w:i/>
          <w:color w:val="2F5496"/>
          <w:sz w:val="22"/>
          <w:szCs w:val="22"/>
        </w:rPr>
        <w:t xml:space="preserve"> reducir el impacto de la eliminación del riesgo bancario en las organizaciones humanitarias.</w:t>
      </w:r>
    </w:p>
    <w:p w:rsidR="00610F9B" w:rsidRPr="00044203" w:rsidRDefault="00610F9B" w:rsidP="00610F9B">
      <w:pPr>
        <w:pStyle w:val="ListParagraph"/>
        <w:spacing w:after="160" w:line="259" w:lineRule="auto"/>
        <w:ind w:left="360"/>
        <w:jc w:val="both"/>
        <w:rPr>
          <w:rFonts w:ascii="Arial" w:eastAsia="Times New Roman" w:hAnsi="Arial" w:cs="Arial"/>
          <w:i/>
          <w:color w:val="2F5496"/>
          <w:sz w:val="22"/>
          <w:szCs w:val="22"/>
          <w:lang w:eastAsia="en-US"/>
        </w:rPr>
      </w:pPr>
    </w:p>
    <w:bookmarkEnd w:id="3"/>
    <w:p w:rsidR="008F0B94" w:rsidRPr="00044203" w:rsidRDefault="008F0B94" w:rsidP="008F0B94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Plan de acción</w:t>
      </w:r>
    </w:p>
    <w:p w:rsidR="008F0B94" w:rsidRPr="00044203" w:rsidRDefault="008F0B94" w:rsidP="008F0B9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360" w:firstLine="0"/>
        <w:rPr>
          <w:rFonts w:ascii="Arial" w:hAnsi="Arial" w:cs="Arial"/>
          <w:sz w:val="22"/>
          <w:szCs w:val="22"/>
        </w:rPr>
      </w:pPr>
    </w:p>
    <w:p w:rsidR="008F0B94" w:rsidRPr="00044203" w:rsidRDefault="008F0B94" w:rsidP="008F0B94">
      <w:pPr>
        <w:pStyle w:val="Indent1"/>
        <w:tabs>
          <w:tab w:val="clear" w:pos="396"/>
        </w:tabs>
        <w:ind w:left="66" w:firstLine="0"/>
        <w:rPr>
          <w:rFonts w:ascii="Arial" w:hAnsi="Arial" w:cs="Arial"/>
          <w:i/>
          <w:color w:val="2F5496"/>
          <w:sz w:val="22"/>
          <w:szCs w:val="22"/>
        </w:rPr>
      </w:pPr>
      <w:bookmarkStart w:id="4" w:name="_Hlk6308955"/>
      <w:r>
        <w:rPr>
          <w:rFonts w:ascii="Arial" w:hAnsi="Arial"/>
          <w:i/>
          <w:color w:val="2F5496"/>
          <w:sz w:val="22"/>
          <w:szCs w:val="22"/>
        </w:rPr>
        <w:t xml:space="preserve">Los Estados y las Sociedades Nacionales pueden elaborar sus propios planes de acción </w:t>
      </w:r>
      <w:r w:rsidR="00DD763D">
        <w:rPr>
          <w:rFonts w:ascii="Arial" w:hAnsi="Arial"/>
          <w:i/>
          <w:color w:val="2F5496"/>
          <w:sz w:val="22"/>
          <w:szCs w:val="22"/>
        </w:rPr>
        <w:t>conforme a</w:t>
      </w:r>
      <w:r>
        <w:rPr>
          <w:rFonts w:ascii="Arial" w:hAnsi="Arial"/>
          <w:i/>
          <w:color w:val="2F5496"/>
          <w:sz w:val="22"/>
          <w:szCs w:val="22"/>
        </w:rPr>
        <w:t xml:space="preserve"> los objetivos seleccionados como eje central de su labor en su respectivo contexto, así como adaptar el cronograma y la lista de acciones medibles que prevén implementar para 2023. A continuación, se describen algunas medidas que los Estados o las Sociedades Nacionales pueden adoptar como parte de la implementación de los objetivos mencionados. </w:t>
      </w:r>
    </w:p>
    <w:p w:rsidR="008F0B94" w:rsidRPr="00044203" w:rsidRDefault="008F0B94" w:rsidP="008F0B94">
      <w:pPr>
        <w:pStyle w:val="Indent1"/>
        <w:tabs>
          <w:tab w:val="clear" w:pos="396"/>
        </w:tabs>
        <w:ind w:left="66" w:firstLine="0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6C38D1" w:rsidP="008F0B9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Con respecto a la adopción de medidas legislativas, regulatorias y prácticas para incorporar normas del DIH que prote</w:t>
      </w:r>
      <w:r w:rsidR="00DD763D">
        <w:rPr>
          <w:rFonts w:ascii="Arial" w:hAnsi="Arial"/>
          <w:i/>
          <w:color w:val="2F5496"/>
          <w:sz w:val="22"/>
          <w:szCs w:val="22"/>
        </w:rPr>
        <w:t>ge</w:t>
      </w:r>
      <w:r>
        <w:rPr>
          <w:rFonts w:ascii="Arial" w:hAnsi="Arial"/>
          <w:i/>
          <w:color w:val="2F5496"/>
          <w:sz w:val="22"/>
          <w:szCs w:val="22"/>
        </w:rPr>
        <w:t xml:space="preserve">n la acción humanitaria basada en principios en los </w:t>
      </w:r>
      <w:r>
        <w:rPr>
          <w:rFonts w:ascii="Arial" w:hAnsi="Arial"/>
          <w:i/>
          <w:color w:val="2F5496"/>
          <w:sz w:val="22"/>
          <w:szCs w:val="22"/>
        </w:rPr>
        <w:lastRenderedPageBreak/>
        <w:t>marcos antiterroristas y de regímenes de sanciones, los Estados y/o las Sociedades Nacionales pueden:</w:t>
      </w:r>
    </w:p>
    <w:p w:rsidR="008F0B94" w:rsidRPr="00044203" w:rsidRDefault="008F0B94" w:rsidP="008F0B94">
      <w:pPr>
        <w:pStyle w:val="ListParagraph"/>
        <w:numPr>
          <w:ilvl w:val="1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realizar un análisis de las áreas que requieran desarrollos o modificaciones;</w:t>
      </w:r>
    </w:p>
    <w:p w:rsidR="00AE76F5" w:rsidRPr="00044203" w:rsidRDefault="008F0B94" w:rsidP="008F0B94">
      <w:pPr>
        <w:pStyle w:val="ListParagraph"/>
        <w:numPr>
          <w:ilvl w:val="1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formular nuevas legislaciones y regulaciones, o modificar las existentes;</w:t>
      </w:r>
    </w:p>
    <w:p w:rsidR="008F0B94" w:rsidRPr="00044203" w:rsidRDefault="0035367E" w:rsidP="008F0B94">
      <w:pPr>
        <w:pStyle w:val="ListParagraph"/>
        <w:numPr>
          <w:ilvl w:val="1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redactar documentos de orientación sobre cómo implementar medidas antiterroristas y regímenes de sanciones de conformidad con el DIH;</w:t>
      </w:r>
    </w:p>
    <w:p w:rsidR="00145EA4" w:rsidRPr="00044203" w:rsidRDefault="00484651" w:rsidP="008F0B94">
      <w:pPr>
        <w:pStyle w:val="ListParagraph"/>
        <w:numPr>
          <w:ilvl w:val="1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designar puntos de referencia interministeriales.</w:t>
      </w:r>
    </w:p>
    <w:p w:rsidR="00AE76F5" w:rsidRPr="00044203" w:rsidRDefault="00AE76F5" w:rsidP="0035367E">
      <w:pPr>
        <w:pStyle w:val="ListParagraph"/>
        <w:spacing w:after="160" w:line="259" w:lineRule="auto"/>
        <w:ind w:left="0"/>
        <w:jc w:val="both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6C38D1" w:rsidP="008F0B9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Con respecto a la adopción y a la implementación de medidas para proteger la acción humanitaria basada en principios de los efectos de </w:t>
      </w:r>
      <w:r w:rsidR="00602827">
        <w:rPr>
          <w:rFonts w:ascii="Arial" w:hAnsi="Arial"/>
          <w:i/>
          <w:color w:val="2F5496"/>
          <w:sz w:val="22"/>
          <w:szCs w:val="22"/>
        </w:rPr>
        <w:t xml:space="preserve">los marcos </w:t>
      </w:r>
      <w:r>
        <w:rPr>
          <w:rFonts w:ascii="Arial" w:hAnsi="Arial"/>
          <w:i/>
          <w:color w:val="2F5496"/>
          <w:sz w:val="22"/>
          <w:szCs w:val="22"/>
        </w:rPr>
        <w:t>antiterroristas y de regímenes de sanciones a nivel regional e internacional, los Estados y/o las Sociedades Nacionales pueden:</w:t>
      </w:r>
    </w:p>
    <w:p w:rsidR="0035367E" w:rsidRPr="00044203" w:rsidRDefault="0035367E" w:rsidP="00145EA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realizar un análisis de los marcos nacionales antiterroristas y de sanciones que requieren desarrollos o modificaciones;</w:t>
      </w:r>
    </w:p>
    <w:p w:rsidR="00145EA4" w:rsidRPr="00044203" w:rsidRDefault="00145EA4" w:rsidP="00145EA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solicitar que las medidas antiterroristas y los regímenes de sanciones vayan acompañados de una evaluación de su impacto en la acción humanitaria basada en principios;</w:t>
      </w:r>
    </w:p>
    <w:p w:rsidR="00145EA4" w:rsidRPr="00044203" w:rsidRDefault="00484651" w:rsidP="00145EA4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promover la inclusión de la exención humanitaria u otras medidas de mitigación similares en las medidas antiterroristas y en los regímenes de sanciones. </w:t>
      </w:r>
    </w:p>
    <w:p w:rsidR="0035367E" w:rsidRPr="00044203" w:rsidRDefault="0035367E" w:rsidP="00145EA4">
      <w:pPr>
        <w:pStyle w:val="ListParagraph"/>
        <w:spacing w:after="160" w:line="259" w:lineRule="auto"/>
        <w:ind w:left="0"/>
        <w:jc w:val="both"/>
        <w:rPr>
          <w:rFonts w:ascii="Arial" w:eastAsia="Times New Roman" w:hAnsi="Arial" w:cs="Arial"/>
          <w:i/>
          <w:color w:val="2F5496"/>
          <w:sz w:val="22"/>
          <w:szCs w:val="22"/>
          <w:lang w:eastAsia="en-US"/>
        </w:rPr>
      </w:pPr>
    </w:p>
    <w:p w:rsidR="008F0B94" w:rsidRPr="00044203" w:rsidRDefault="006C38D1" w:rsidP="008F0B9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Con respecto al intercambio de ejemplos de prácticas y medidas idóneas para cumplir con las obligaciones del DIH, los Estados y/o las Sociedades Nacionales pueden:</w:t>
      </w:r>
    </w:p>
    <w:p w:rsidR="008F0B94" w:rsidRPr="00044203" w:rsidRDefault="008F0B94" w:rsidP="008F0B94">
      <w:pPr>
        <w:pStyle w:val="ListParagraph"/>
        <w:numPr>
          <w:ilvl w:val="1"/>
          <w:numId w:val="37"/>
        </w:numPr>
        <w:spacing w:after="160" w:line="259" w:lineRule="auto"/>
        <w:ind w:left="709" w:hanging="283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realizar y/o intercambiar evaluaciones del impacto de</w:t>
      </w:r>
      <w:r w:rsidR="003C0AD1">
        <w:rPr>
          <w:rFonts w:ascii="Arial" w:hAnsi="Arial"/>
          <w:i/>
          <w:color w:val="2F5496"/>
          <w:sz w:val="22"/>
          <w:szCs w:val="22"/>
        </w:rPr>
        <w:t xml:space="preserve"> la lucha contra el </w:t>
      </w:r>
      <w:r>
        <w:rPr>
          <w:rFonts w:ascii="Arial" w:hAnsi="Arial"/>
          <w:i/>
          <w:color w:val="2F5496"/>
          <w:sz w:val="22"/>
          <w:szCs w:val="22"/>
        </w:rPr>
        <w:t>terroris</w:t>
      </w:r>
      <w:r w:rsidR="003C0AD1">
        <w:rPr>
          <w:rFonts w:ascii="Arial" w:hAnsi="Arial"/>
          <w:i/>
          <w:color w:val="2F5496"/>
          <w:sz w:val="22"/>
          <w:szCs w:val="22"/>
        </w:rPr>
        <w:t>mo</w:t>
      </w:r>
      <w:r>
        <w:rPr>
          <w:rFonts w:ascii="Arial" w:hAnsi="Arial"/>
          <w:i/>
          <w:color w:val="2F5496"/>
          <w:sz w:val="22"/>
          <w:szCs w:val="22"/>
        </w:rPr>
        <w:t xml:space="preserve"> y de </w:t>
      </w:r>
      <w:r w:rsidR="003C0AD1">
        <w:rPr>
          <w:rFonts w:ascii="Arial" w:hAnsi="Arial"/>
          <w:i/>
          <w:color w:val="2F5496"/>
          <w:sz w:val="22"/>
          <w:szCs w:val="22"/>
        </w:rPr>
        <w:t xml:space="preserve">los </w:t>
      </w:r>
      <w:r>
        <w:rPr>
          <w:rFonts w:ascii="Arial" w:hAnsi="Arial"/>
          <w:i/>
          <w:color w:val="2F5496"/>
          <w:sz w:val="22"/>
          <w:szCs w:val="22"/>
        </w:rPr>
        <w:t>regímenes de sanciones en la acción humanitaria basada en principios;</w:t>
      </w:r>
    </w:p>
    <w:p w:rsidR="008F0B94" w:rsidRPr="00044203" w:rsidRDefault="0035367E" w:rsidP="008F0B94">
      <w:pPr>
        <w:pStyle w:val="ListParagraph"/>
        <w:numPr>
          <w:ilvl w:val="1"/>
          <w:numId w:val="37"/>
        </w:numPr>
        <w:spacing w:after="160" w:line="259" w:lineRule="auto"/>
        <w:ind w:left="709" w:hanging="283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intercambiar prácticas idóneas y ofrecer asesoramiento técnico sobre las medidas que se pueden implementar para proteger la acción humanitaria basada en principios.</w:t>
      </w:r>
    </w:p>
    <w:p w:rsidR="00145EA4" w:rsidRPr="00044203" w:rsidRDefault="00145EA4" w:rsidP="00145EA4">
      <w:pPr>
        <w:pStyle w:val="ListParagraph"/>
        <w:spacing w:after="160" w:line="259" w:lineRule="auto"/>
        <w:ind w:left="709"/>
        <w:jc w:val="both"/>
        <w:rPr>
          <w:rFonts w:ascii="Arial" w:eastAsia="Times New Roman" w:hAnsi="Arial" w:cs="Arial"/>
          <w:i/>
          <w:color w:val="2F5496"/>
          <w:sz w:val="22"/>
          <w:szCs w:val="22"/>
          <w:lang w:eastAsia="en-US"/>
        </w:rPr>
      </w:pPr>
    </w:p>
    <w:bookmarkEnd w:id="4"/>
    <w:p w:rsidR="008F0B94" w:rsidRPr="00044203" w:rsidRDefault="008F0B94" w:rsidP="008F0B94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Indicadores para medir los avances</w:t>
      </w:r>
      <w:bookmarkStart w:id="5" w:name="_Hlk6308972"/>
    </w:p>
    <w:p w:rsidR="008F0B94" w:rsidRPr="00044203" w:rsidRDefault="008F0B94" w:rsidP="008F0B9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360" w:firstLine="0"/>
        <w:rPr>
          <w:rFonts w:ascii="Arial" w:hAnsi="Arial" w:cs="Arial"/>
          <w:sz w:val="22"/>
          <w:szCs w:val="22"/>
        </w:rPr>
      </w:pPr>
    </w:p>
    <w:bookmarkEnd w:id="5"/>
    <w:p w:rsidR="008F0B94" w:rsidRPr="00044203" w:rsidRDefault="008F0B94" w:rsidP="008F0B9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 xml:space="preserve">Número de acciones realizadas por los Estados, las organizaciones internacionales y/o las Sociedades Nacionales en apoyo de estos, para considerar las obligaciones pertinentes del DIH en los marcos legislativos, administrativos e institucionales, en particular, la orientación política sobre la interpretación de las medidas antiterroristas y de los regímenes de sanciones existentes; </w:t>
      </w:r>
    </w:p>
    <w:p w:rsidR="008F0B94" w:rsidRPr="00044203" w:rsidRDefault="008F0B94" w:rsidP="008F0B9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número de exenciones humanitarias u otras medidas de mitigación similares contenidas en las medidas antiterroristas y en los regímenes de sanciones;</w:t>
      </w:r>
    </w:p>
    <w:p w:rsidR="008F0B94" w:rsidRPr="00044203" w:rsidRDefault="008F0B94" w:rsidP="008F0B9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número de Estados y/o de Sociedades Nacionales que han creado grupos de trabajo interministeriales y/o definido puntos de referencia;</w:t>
      </w:r>
    </w:p>
    <w:p w:rsidR="00A7156C" w:rsidRPr="00044203" w:rsidRDefault="00A7156C" w:rsidP="008F0B9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2F5496"/>
          <w:sz w:val="22"/>
          <w:szCs w:val="22"/>
        </w:rPr>
      </w:pPr>
      <w:r>
        <w:rPr>
          <w:rFonts w:ascii="Arial" w:hAnsi="Arial"/>
          <w:i/>
          <w:color w:val="2F5496"/>
          <w:sz w:val="22"/>
          <w:szCs w:val="22"/>
        </w:rPr>
        <w:t>número de medidas prácticas adoptadas por un Estado para mejorar el diálogo entre sus organismos, instituciones financieras y organizaciones humanitarias pertinentes.</w:t>
      </w:r>
    </w:p>
    <w:p w:rsidR="008F0B94" w:rsidRPr="00044203" w:rsidRDefault="008F0B94" w:rsidP="00610F9B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i/>
          <w:color w:val="2F5496"/>
          <w:sz w:val="22"/>
          <w:szCs w:val="22"/>
          <w:lang w:eastAsia="en-US"/>
        </w:rPr>
      </w:pPr>
    </w:p>
    <w:p w:rsidR="008F0B94" w:rsidRPr="00044203" w:rsidRDefault="008F0B94" w:rsidP="008F0B94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2"/>
          <w:szCs w:val="22"/>
        </w:rPr>
      </w:pPr>
    </w:p>
    <w:p w:rsidR="008F0B94" w:rsidRPr="00044203" w:rsidRDefault="008F0B94" w:rsidP="008F0B94">
      <w:pPr>
        <w:pStyle w:val="Indent1"/>
        <w:numPr>
          <w:ilvl w:val="0"/>
          <w:numId w:val="36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Recursos necesarios</w:t>
      </w:r>
    </w:p>
    <w:p w:rsidR="008F0B94" w:rsidRPr="00044203" w:rsidRDefault="008F0B94" w:rsidP="008F0B94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360" w:firstLine="0"/>
        <w:rPr>
          <w:rFonts w:ascii="Arial" w:hAnsi="Arial" w:cs="Arial"/>
          <w:sz w:val="22"/>
          <w:szCs w:val="22"/>
        </w:rPr>
      </w:pPr>
    </w:p>
    <w:p w:rsidR="008F0B94" w:rsidRPr="00044203" w:rsidRDefault="008F0B94" w:rsidP="000959E1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</w:tabs>
        <w:ind w:left="0" w:firstLine="0"/>
        <w:rPr>
          <w:rFonts w:ascii="Arial" w:hAnsi="Arial" w:cs="Arial"/>
          <w:i/>
          <w:color w:val="2F5496"/>
          <w:sz w:val="22"/>
          <w:szCs w:val="22"/>
        </w:rPr>
      </w:pPr>
      <w:bookmarkStart w:id="6" w:name="_Hlk6309021"/>
      <w:r>
        <w:rPr>
          <w:rFonts w:ascii="Arial" w:hAnsi="Arial"/>
          <w:i/>
          <w:color w:val="2F5496"/>
          <w:sz w:val="22"/>
          <w:szCs w:val="22"/>
        </w:rPr>
        <w:t>Los Estados y/o las Sociedades Nacionales determinarán los recursos que podrían necesitarse para apoyar la implementación de esta promesa</w:t>
      </w:r>
      <w:bookmarkEnd w:id="6"/>
      <w:r>
        <w:rPr>
          <w:rFonts w:ascii="Arial" w:hAnsi="Arial"/>
          <w:i/>
          <w:color w:val="2F5496"/>
          <w:sz w:val="22"/>
          <w:szCs w:val="22"/>
        </w:rPr>
        <w:t xml:space="preserve"> sobre la base de los objetivos seleccionados y las acciones que decidan emprendan en su contexto específico. </w:t>
      </w:r>
    </w:p>
    <w:p w:rsidR="00B36BAF" w:rsidRPr="00044203" w:rsidRDefault="00B36BAF" w:rsidP="00DF2BB7">
      <w:pPr>
        <w:pStyle w:val="Indent1"/>
        <w:rPr>
          <w:rFonts w:ascii="Arial" w:hAnsi="Arial" w:cs="Arial"/>
          <w:b/>
          <w:sz w:val="22"/>
          <w:szCs w:val="22"/>
        </w:rPr>
      </w:pPr>
    </w:p>
    <w:p w:rsidR="00F224E5" w:rsidRPr="00584C6A" w:rsidRDefault="00F224E5" w:rsidP="00A10801">
      <w:pPr>
        <w:pStyle w:val="Indent1"/>
        <w:tabs>
          <w:tab w:val="clear" w:pos="396"/>
          <w:tab w:val="left" w:pos="0"/>
          <w:tab w:val="left" w:pos="1418"/>
        </w:tabs>
        <w:rPr>
          <w:rFonts w:ascii="Arial" w:hAnsi="Arial" w:cs="Arial"/>
          <w:iCs/>
          <w:color w:val="376092"/>
          <w:sz w:val="22"/>
          <w:szCs w:val="22"/>
        </w:rPr>
      </w:pPr>
    </w:p>
    <w:p w:rsidR="009C0D65" w:rsidRPr="00044203" w:rsidRDefault="0047194B" w:rsidP="009C0D65">
      <w:pPr>
        <w:pStyle w:val="Inden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Organización: Comité Internacional de la Cruz Roja (CICR)</w:t>
      </w:r>
    </w:p>
    <w:p w:rsidR="00AF7A8D" w:rsidRPr="00044203" w:rsidRDefault="00AF7A8D" w:rsidP="009C0D65">
      <w:pPr>
        <w:pStyle w:val="Indent1"/>
        <w:ind w:left="0" w:firstLine="0"/>
        <w:rPr>
          <w:rFonts w:ascii="Arial" w:hAnsi="Arial" w:cs="Arial"/>
          <w:sz w:val="22"/>
          <w:szCs w:val="22"/>
        </w:rPr>
      </w:pPr>
    </w:p>
    <w:p w:rsidR="009C0D65" w:rsidRPr="00044203" w:rsidRDefault="009C0D65" w:rsidP="009C0D65">
      <w:pPr>
        <w:pStyle w:val="Inden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del departamento y de la persona de contacto: Departamento de Derecho Internacional y Políticas, división Jurídica, Tristan Ferraro</w:t>
      </w:r>
    </w:p>
    <w:p w:rsidR="00AF7A8D" w:rsidRPr="00044203" w:rsidRDefault="00AF7A8D" w:rsidP="009C0D65">
      <w:pPr>
        <w:pStyle w:val="Indent1"/>
        <w:ind w:left="0" w:firstLine="0"/>
        <w:rPr>
          <w:rFonts w:ascii="Arial" w:hAnsi="Arial" w:cs="Arial"/>
          <w:sz w:val="22"/>
          <w:szCs w:val="22"/>
        </w:rPr>
      </w:pPr>
    </w:p>
    <w:p w:rsidR="0095469E" w:rsidRPr="00044203" w:rsidRDefault="009C0D65" w:rsidP="00102281">
      <w:pPr>
        <w:pStyle w:val="Indent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Dirección de correo electrónico y número de interno: </w:t>
      </w:r>
      <w:hyperlink r:id="rId15" w:history="1">
        <w:r>
          <w:rPr>
            <w:rStyle w:val="Hyperlink"/>
            <w:rFonts w:ascii="Arial" w:hAnsi="Arial"/>
            <w:sz w:val="22"/>
            <w:szCs w:val="22"/>
          </w:rPr>
          <w:t>tferraro@icrc.org</w:t>
        </w:r>
      </w:hyperlink>
      <w:r>
        <w:rPr>
          <w:rFonts w:ascii="Arial" w:hAnsi="Arial"/>
          <w:sz w:val="22"/>
          <w:szCs w:val="22"/>
        </w:rPr>
        <w:t xml:space="preserve"> (+41 22 7302990)</w:t>
      </w:r>
    </w:p>
    <w:sectPr w:rsidR="0095469E" w:rsidRPr="00044203" w:rsidSect="00BB5F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A9" w:rsidRDefault="00E865A9">
      <w:r>
        <w:separator/>
      </w:r>
    </w:p>
  </w:endnote>
  <w:endnote w:type="continuationSeparator" w:id="0">
    <w:p w:rsidR="00E865A9" w:rsidRDefault="00E8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54" w:rsidRDefault="00404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354" w:rsidRDefault="004043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54" w:rsidRDefault="0040435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46C" w:rsidRDefault="00CC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A9" w:rsidRDefault="00E865A9">
      <w:r>
        <w:separator/>
      </w:r>
    </w:p>
  </w:footnote>
  <w:footnote w:type="continuationSeparator" w:id="0">
    <w:p w:rsidR="00E865A9" w:rsidRDefault="00E8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54" w:rsidRDefault="00404354" w:rsidP="00626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354" w:rsidRDefault="00404354" w:rsidP="00844B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54" w:rsidRDefault="00404354" w:rsidP="005C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C77">
      <w:rPr>
        <w:rStyle w:val="PageNumber"/>
      </w:rPr>
      <w:t>2</w:t>
    </w:r>
    <w:r>
      <w:rPr>
        <w:rStyle w:val="PageNumber"/>
      </w:rPr>
      <w:fldChar w:fldCharType="end"/>
    </w:r>
  </w:p>
  <w:p w:rsidR="00404354" w:rsidRDefault="00404354" w:rsidP="00844B3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93" w:rsidRPr="00CC546C" w:rsidRDefault="005C4193" w:rsidP="00CC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4082B58"/>
    <w:multiLevelType w:val="hybridMultilevel"/>
    <w:tmpl w:val="9D00A0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7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803AB"/>
    <w:multiLevelType w:val="hybridMultilevel"/>
    <w:tmpl w:val="CD1897F8"/>
    <w:lvl w:ilvl="0" w:tplc="10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5231963"/>
    <w:multiLevelType w:val="hybridMultilevel"/>
    <w:tmpl w:val="8564C2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0244"/>
    <w:multiLevelType w:val="hybridMultilevel"/>
    <w:tmpl w:val="8A6E12AE"/>
    <w:lvl w:ilvl="0" w:tplc="2A50A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4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77ED"/>
    <w:multiLevelType w:val="hybridMultilevel"/>
    <w:tmpl w:val="0DF27A4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23"/>
  </w:num>
  <w:num w:numId="4">
    <w:abstractNumId w:val="37"/>
  </w:num>
  <w:num w:numId="5">
    <w:abstractNumId w:val="15"/>
  </w:num>
  <w:num w:numId="6">
    <w:abstractNumId w:val="32"/>
  </w:num>
  <w:num w:numId="7">
    <w:abstractNumId w:val="36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28"/>
  </w:num>
  <w:num w:numId="13">
    <w:abstractNumId w:val="7"/>
  </w:num>
  <w:num w:numId="14">
    <w:abstractNumId w:val="21"/>
  </w:num>
  <w:num w:numId="15">
    <w:abstractNumId w:val="18"/>
  </w:num>
  <w:num w:numId="16">
    <w:abstractNumId w:val="14"/>
  </w:num>
  <w:num w:numId="17">
    <w:abstractNumId w:val="33"/>
  </w:num>
  <w:num w:numId="18">
    <w:abstractNumId w:val="22"/>
  </w:num>
  <w:num w:numId="19">
    <w:abstractNumId w:val="35"/>
  </w:num>
  <w:num w:numId="20">
    <w:abstractNumId w:val="31"/>
  </w:num>
  <w:num w:numId="21">
    <w:abstractNumId w:val="9"/>
  </w:num>
  <w:num w:numId="22">
    <w:abstractNumId w:val="25"/>
  </w:num>
  <w:num w:numId="23">
    <w:abstractNumId w:val="11"/>
  </w:num>
  <w:num w:numId="24">
    <w:abstractNumId w:val="1"/>
  </w:num>
  <w:num w:numId="25">
    <w:abstractNumId w:val="13"/>
  </w:num>
  <w:num w:numId="26">
    <w:abstractNumId w:val="26"/>
  </w:num>
  <w:num w:numId="27">
    <w:abstractNumId w:val="19"/>
  </w:num>
  <w:num w:numId="28">
    <w:abstractNumId w:val="5"/>
  </w:num>
  <w:num w:numId="29">
    <w:abstractNumId w:val="17"/>
  </w:num>
  <w:num w:numId="30">
    <w:abstractNumId w:val="24"/>
  </w:num>
  <w:num w:numId="31">
    <w:abstractNumId w:val="30"/>
  </w:num>
  <w:num w:numId="32">
    <w:abstractNumId w:val="0"/>
  </w:num>
  <w:num w:numId="33">
    <w:abstractNumId w:val="29"/>
  </w:num>
  <w:num w:numId="34">
    <w:abstractNumId w:val="20"/>
  </w:num>
  <w:num w:numId="35">
    <w:abstractNumId w:val="16"/>
  </w:num>
  <w:num w:numId="36">
    <w:abstractNumId w:val="38"/>
  </w:num>
  <w:num w:numId="37">
    <w:abstractNumId w:val="4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9"/>
    <w:rsid w:val="00002639"/>
    <w:rsid w:val="00005A53"/>
    <w:rsid w:val="0000773A"/>
    <w:rsid w:val="00017979"/>
    <w:rsid w:val="00017C85"/>
    <w:rsid w:val="00024F3E"/>
    <w:rsid w:val="000250C7"/>
    <w:rsid w:val="000334AE"/>
    <w:rsid w:val="0003440E"/>
    <w:rsid w:val="000369E2"/>
    <w:rsid w:val="000374B7"/>
    <w:rsid w:val="00042D3E"/>
    <w:rsid w:val="00044203"/>
    <w:rsid w:val="00044E63"/>
    <w:rsid w:val="0005495F"/>
    <w:rsid w:val="00062387"/>
    <w:rsid w:val="0006498D"/>
    <w:rsid w:val="00071313"/>
    <w:rsid w:val="000733CE"/>
    <w:rsid w:val="00073629"/>
    <w:rsid w:val="00086811"/>
    <w:rsid w:val="000959E1"/>
    <w:rsid w:val="000B29E2"/>
    <w:rsid w:val="000B4C1F"/>
    <w:rsid w:val="000B5AAD"/>
    <w:rsid w:val="000E1031"/>
    <w:rsid w:val="00100C79"/>
    <w:rsid w:val="00102281"/>
    <w:rsid w:val="0010301D"/>
    <w:rsid w:val="00106ACD"/>
    <w:rsid w:val="001105BF"/>
    <w:rsid w:val="00113C69"/>
    <w:rsid w:val="00116478"/>
    <w:rsid w:val="001176A6"/>
    <w:rsid w:val="00121463"/>
    <w:rsid w:val="0012414A"/>
    <w:rsid w:val="00137B46"/>
    <w:rsid w:val="00145EA4"/>
    <w:rsid w:val="001621DA"/>
    <w:rsid w:val="001648C4"/>
    <w:rsid w:val="0017798E"/>
    <w:rsid w:val="001779D2"/>
    <w:rsid w:val="001808C2"/>
    <w:rsid w:val="001B0304"/>
    <w:rsid w:val="001B0473"/>
    <w:rsid w:val="001C1766"/>
    <w:rsid w:val="001C714F"/>
    <w:rsid w:val="001D3B20"/>
    <w:rsid w:val="001E06A2"/>
    <w:rsid w:val="001E3EE4"/>
    <w:rsid w:val="001E3EF2"/>
    <w:rsid w:val="001F12FA"/>
    <w:rsid w:val="001F602A"/>
    <w:rsid w:val="00201F24"/>
    <w:rsid w:val="00213029"/>
    <w:rsid w:val="00215765"/>
    <w:rsid w:val="002261A9"/>
    <w:rsid w:val="002351E9"/>
    <w:rsid w:val="00235D26"/>
    <w:rsid w:val="00237B89"/>
    <w:rsid w:val="0024085E"/>
    <w:rsid w:val="00260612"/>
    <w:rsid w:val="00263BA3"/>
    <w:rsid w:val="00271FA3"/>
    <w:rsid w:val="00275A1A"/>
    <w:rsid w:val="002764A0"/>
    <w:rsid w:val="00284A16"/>
    <w:rsid w:val="002A0282"/>
    <w:rsid w:val="002A30F0"/>
    <w:rsid w:val="002B0196"/>
    <w:rsid w:val="002B09CF"/>
    <w:rsid w:val="002B34B4"/>
    <w:rsid w:val="002B7341"/>
    <w:rsid w:val="002C1A4B"/>
    <w:rsid w:val="002C3004"/>
    <w:rsid w:val="002D23AB"/>
    <w:rsid w:val="002D6A5C"/>
    <w:rsid w:val="002D7179"/>
    <w:rsid w:val="002E1036"/>
    <w:rsid w:val="002E6E0B"/>
    <w:rsid w:val="002F0588"/>
    <w:rsid w:val="002F2097"/>
    <w:rsid w:val="002F2DA0"/>
    <w:rsid w:val="00305ED3"/>
    <w:rsid w:val="00314A48"/>
    <w:rsid w:val="00314C85"/>
    <w:rsid w:val="003222A1"/>
    <w:rsid w:val="00322897"/>
    <w:rsid w:val="00336672"/>
    <w:rsid w:val="00340776"/>
    <w:rsid w:val="00340D92"/>
    <w:rsid w:val="00341395"/>
    <w:rsid w:val="0034446C"/>
    <w:rsid w:val="0034539B"/>
    <w:rsid w:val="0035367E"/>
    <w:rsid w:val="0035372A"/>
    <w:rsid w:val="003554E9"/>
    <w:rsid w:val="0035690D"/>
    <w:rsid w:val="00361F87"/>
    <w:rsid w:val="003771D7"/>
    <w:rsid w:val="003846FF"/>
    <w:rsid w:val="00392F51"/>
    <w:rsid w:val="003952A3"/>
    <w:rsid w:val="003B1093"/>
    <w:rsid w:val="003B185C"/>
    <w:rsid w:val="003B2434"/>
    <w:rsid w:val="003C0AD1"/>
    <w:rsid w:val="003C0E14"/>
    <w:rsid w:val="003C3B46"/>
    <w:rsid w:val="003D5B81"/>
    <w:rsid w:val="003D735F"/>
    <w:rsid w:val="003E0607"/>
    <w:rsid w:val="003E43A8"/>
    <w:rsid w:val="003F4823"/>
    <w:rsid w:val="003F57AC"/>
    <w:rsid w:val="00404354"/>
    <w:rsid w:val="00416EA8"/>
    <w:rsid w:val="004303DA"/>
    <w:rsid w:val="00431417"/>
    <w:rsid w:val="00432660"/>
    <w:rsid w:val="00445855"/>
    <w:rsid w:val="00451E7D"/>
    <w:rsid w:val="00452633"/>
    <w:rsid w:val="0047194B"/>
    <w:rsid w:val="00471EE1"/>
    <w:rsid w:val="004778E5"/>
    <w:rsid w:val="004824EC"/>
    <w:rsid w:val="00484651"/>
    <w:rsid w:val="004852CD"/>
    <w:rsid w:val="004920B4"/>
    <w:rsid w:val="00496EEE"/>
    <w:rsid w:val="004A2135"/>
    <w:rsid w:val="004A5E2D"/>
    <w:rsid w:val="004A6E3D"/>
    <w:rsid w:val="004A7AF4"/>
    <w:rsid w:val="004B4857"/>
    <w:rsid w:val="004B59C9"/>
    <w:rsid w:val="004C4C49"/>
    <w:rsid w:val="004D34DE"/>
    <w:rsid w:val="004D5347"/>
    <w:rsid w:val="004F52A6"/>
    <w:rsid w:val="005002B3"/>
    <w:rsid w:val="00500D76"/>
    <w:rsid w:val="00503828"/>
    <w:rsid w:val="005078E0"/>
    <w:rsid w:val="00520A3A"/>
    <w:rsid w:val="00523CCC"/>
    <w:rsid w:val="00526497"/>
    <w:rsid w:val="00530C8C"/>
    <w:rsid w:val="00535605"/>
    <w:rsid w:val="00543356"/>
    <w:rsid w:val="00543754"/>
    <w:rsid w:val="00543EEF"/>
    <w:rsid w:val="0054590B"/>
    <w:rsid w:val="0055073C"/>
    <w:rsid w:val="0055620E"/>
    <w:rsid w:val="00574C1F"/>
    <w:rsid w:val="00574D65"/>
    <w:rsid w:val="00584C6A"/>
    <w:rsid w:val="00584D4F"/>
    <w:rsid w:val="00587FB9"/>
    <w:rsid w:val="0059022D"/>
    <w:rsid w:val="00593970"/>
    <w:rsid w:val="005A0F8B"/>
    <w:rsid w:val="005A2A05"/>
    <w:rsid w:val="005A2EE2"/>
    <w:rsid w:val="005B1D5E"/>
    <w:rsid w:val="005C0FFD"/>
    <w:rsid w:val="005C20D0"/>
    <w:rsid w:val="005C4193"/>
    <w:rsid w:val="005C4634"/>
    <w:rsid w:val="005D4988"/>
    <w:rsid w:val="005F2C23"/>
    <w:rsid w:val="005F2C3D"/>
    <w:rsid w:val="005F2FAC"/>
    <w:rsid w:val="0060118B"/>
    <w:rsid w:val="006014AE"/>
    <w:rsid w:val="00602827"/>
    <w:rsid w:val="006054BF"/>
    <w:rsid w:val="00610F9B"/>
    <w:rsid w:val="00616604"/>
    <w:rsid w:val="00622394"/>
    <w:rsid w:val="00622E87"/>
    <w:rsid w:val="00626534"/>
    <w:rsid w:val="006311BC"/>
    <w:rsid w:val="0063236E"/>
    <w:rsid w:val="00641CA9"/>
    <w:rsid w:val="00651073"/>
    <w:rsid w:val="00651D14"/>
    <w:rsid w:val="006615F1"/>
    <w:rsid w:val="00662949"/>
    <w:rsid w:val="00666562"/>
    <w:rsid w:val="00666AE3"/>
    <w:rsid w:val="0067035A"/>
    <w:rsid w:val="00676332"/>
    <w:rsid w:val="0067740B"/>
    <w:rsid w:val="00683DB2"/>
    <w:rsid w:val="0068592E"/>
    <w:rsid w:val="00687D3F"/>
    <w:rsid w:val="00690DD7"/>
    <w:rsid w:val="00694281"/>
    <w:rsid w:val="006A071E"/>
    <w:rsid w:val="006A5C75"/>
    <w:rsid w:val="006B1DC2"/>
    <w:rsid w:val="006B48CF"/>
    <w:rsid w:val="006C38D1"/>
    <w:rsid w:val="006D1302"/>
    <w:rsid w:val="006E2393"/>
    <w:rsid w:val="006E3023"/>
    <w:rsid w:val="006E5138"/>
    <w:rsid w:val="006E5D88"/>
    <w:rsid w:val="006E66E0"/>
    <w:rsid w:val="006F02A4"/>
    <w:rsid w:val="006F5B46"/>
    <w:rsid w:val="00713D20"/>
    <w:rsid w:val="00714567"/>
    <w:rsid w:val="00733E2C"/>
    <w:rsid w:val="007348ED"/>
    <w:rsid w:val="00735014"/>
    <w:rsid w:val="0075661B"/>
    <w:rsid w:val="00763D59"/>
    <w:rsid w:val="007740BE"/>
    <w:rsid w:val="00774169"/>
    <w:rsid w:val="00781851"/>
    <w:rsid w:val="00792718"/>
    <w:rsid w:val="007A0596"/>
    <w:rsid w:val="007A7426"/>
    <w:rsid w:val="007A7D8C"/>
    <w:rsid w:val="007B2339"/>
    <w:rsid w:val="007E189A"/>
    <w:rsid w:val="007E483F"/>
    <w:rsid w:val="007F1FCF"/>
    <w:rsid w:val="007F4FE9"/>
    <w:rsid w:val="007F7FCE"/>
    <w:rsid w:val="00803C13"/>
    <w:rsid w:val="00806A1F"/>
    <w:rsid w:val="00806B0C"/>
    <w:rsid w:val="00806C25"/>
    <w:rsid w:val="00815C55"/>
    <w:rsid w:val="00825CD7"/>
    <w:rsid w:val="00832F5D"/>
    <w:rsid w:val="00843460"/>
    <w:rsid w:val="00844B3E"/>
    <w:rsid w:val="00845EFB"/>
    <w:rsid w:val="008471CD"/>
    <w:rsid w:val="0087690C"/>
    <w:rsid w:val="00893218"/>
    <w:rsid w:val="0089337E"/>
    <w:rsid w:val="00894B57"/>
    <w:rsid w:val="008A6800"/>
    <w:rsid w:val="008B087B"/>
    <w:rsid w:val="008B22BE"/>
    <w:rsid w:val="008B3D26"/>
    <w:rsid w:val="008C051C"/>
    <w:rsid w:val="008E2921"/>
    <w:rsid w:val="008E3423"/>
    <w:rsid w:val="008F0B94"/>
    <w:rsid w:val="008F167A"/>
    <w:rsid w:val="008F35CE"/>
    <w:rsid w:val="00900BC5"/>
    <w:rsid w:val="0090495F"/>
    <w:rsid w:val="00905F00"/>
    <w:rsid w:val="009110C9"/>
    <w:rsid w:val="00913A04"/>
    <w:rsid w:val="009234E6"/>
    <w:rsid w:val="00923AFB"/>
    <w:rsid w:val="00935A19"/>
    <w:rsid w:val="009420BC"/>
    <w:rsid w:val="00942174"/>
    <w:rsid w:val="0095469E"/>
    <w:rsid w:val="009632C8"/>
    <w:rsid w:val="009768C1"/>
    <w:rsid w:val="0098277F"/>
    <w:rsid w:val="009850A2"/>
    <w:rsid w:val="009860F4"/>
    <w:rsid w:val="009A377C"/>
    <w:rsid w:val="009B76D8"/>
    <w:rsid w:val="009C0D65"/>
    <w:rsid w:val="009D6A10"/>
    <w:rsid w:val="009E2D07"/>
    <w:rsid w:val="009F08A4"/>
    <w:rsid w:val="009F3012"/>
    <w:rsid w:val="009F5E68"/>
    <w:rsid w:val="00A10801"/>
    <w:rsid w:val="00A15EB2"/>
    <w:rsid w:val="00A1687F"/>
    <w:rsid w:val="00A25AB7"/>
    <w:rsid w:val="00A36D84"/>
    <w:rsid w:val="00A42B6D"/>
    <w:rsid w:val="00A579BE"/>
    <w:rsid w:val="00A62D9A"/>
    <w:rsid w:val="00A7156C"/>
    <w:rsid w:val="00A7473F"/>
    <w:rsid w:val="00A81683"/>
    <w:rsid w:val="00A86D4F"/>
    <w:rsid w:val="00A96066"/>
    <w:rsid w:val="00AA260E"/>
    <w:rsid w:val="00AA3AF0"/>
    <w:rsid w:val="00AA7496"/>
    <w:rsid w:val="00AC1D87"/>
    <w:rsid w:val="00AC3FD5"/>
    <w:rsid w:val="00AC41BB"/>
    <w:rsid w:val="00AD1AB4"/>
    <w:rsid w:val="00AD678D"/>
    <w:rsid w:val="00AE4DFF"/>
    <w:rsid w:val="00AE76F5"/>
    <w:rsid w:val="00AF5712"/>
    <w:rsid w:val="00AF6B72"/>
    <w:rsid w:val="00AF7A8D"/>
    <w:rsid w:val="00B00713"/>
    <w:rsid w:val="00B06BA5"/>
    <w:rsid w:val="00B073F3"/>
    <w:rsid w:val="00B14420"/>
    <w:rsid w:val="00B20294"/>
    <w:rsid w:val="00B20FE0"/>
    <w:rsid w:val="00B31DE5"/>
    <w:rsid w:val="00B36BAF"/>
    <w:rsid w:val="00B43782"/>
    <w:rsid w:val="00B43E6C"/>
    <w:rsid w:val="00B50FED"/>
    <w:rsid w:val="00B51465"/>
    <w:rsid w:val="00B52E31"/>
    <w:rsid w:val="00B71B55"/>
    <w:rsid w:val="00B76689"/>
    <w:rsid w:val="00B83381"/>
    <w:rsid w:val="00B95FBE"/>
    <w:rsid w:val="00B972BA"/>
    <w:rsid w:val="00BA2682"/>
    <w:rsid w:val="00BB0A64"/>
    <w:rsid w:val="00BB5F2C"/>
    <w:rsid w:val="00BC39AA"/>
    <w:rsid w:val="00BC4530"/>
    <w:rsid w:val="00BC493B"/>
    <w:rsid w:val="00BD1CCC"/>
    <w:rsid w:val="00BD5E90"/>
    <w:rsid w:val="00BE248D"/>
    <w:rsid w:val="00BF1991"/>
    <w:rsid w:val="00BF39A3"/>
    <w:rsid w:val="00BF54FA"/>
    <w:rsid w:val="00BF6AEC"/>
    <w:rsid w:val="00C2161B"/>
    <w:rsid w:val="00C30140"/>
    <w:rsid w:val="00C30294"/>
    <w:rsid w:val="00C31A99"/>
    <w:rsid w:val="00C31D6C"/>
    <w:rsid w:val="00C32C77"/>
    <w:rsid w:val="00C377CA"/>
    <w:rsid w:val="00C63670"/>
    <w:rsid w:val="00C637BC"/>
    <w:rsid w:val="00C70E49"/>
    <w:rsid w:val="00C722D1"/>
    <w:rsid w:val="00C74DB2"/>
    <w:rsid w:val="00C86E7D"/>
    <w:rsid w:val="00C9108F"/>
    <w:rsid w:val="00C949F2"/>
    <w:rsid w:val="00CB0950"/>
    <w:rsid w:val="00CB1257"/>
    <w:rsid w:val="00CB4CD9"/>
    <w:rsid w:val="00CB6508"/>
    <w:rsid w:val="00CB7BE9"/>
    <w:rsid w:val="00CC546C"/>
    <w:rsid w:val="00CE3BF7"/>
    <w:rsid w:val="00CF5576"/>
    <w:rsid w:val="00D058E5"/>
    <w:rsid w:val="00D07EA4"/>
    <w:rsid w:val="00D1570C"/>
    <w:rsid w:val="00D16487"/>
    <w:rsid w:val="00D16731"/>
    <w:rsid w:val="00D25173"/>
    <w:rsid w:val="00D37253"/>
    <w:rsid w:val="00D43D96"/>
    <w:rsid w:val="00D45BE3"/>
    <w:rsid w:val="00D65581"/>
    <w:rsid w:val="00D765A4"/>
    <w:rsid w:val="00D76E73"/>
    <w:rsid w:val="00D774CA"/>
    <w:rsid w:val="00D81BA9"/>
    <w:rsid w:val="00D8341B"/>
    <w:rsid w:val="00D90094"/>
    <w:rsid w:val="00DA3A6B"/>
    <w:rsid w:val="00DB0CD5"/>
    <w:rsid w:val="00DB4FDB"/>
    <w:rsid w:val="00DC3D9C"/>
    <w:rsid w:val="00DD2557"/>
    <w:rsid w:val="00DD5A0C"/>
    <w:rsid w:val="00DD613E"/>
    <w:rsid w:val="00DD763D"/>
    <w:rsid w:val="00DF2BB7"/>
    <w:rsid w:val="00E007F5"/>
    <w:rsid w:val="00E031B4"/>
    <w:rsid w:val="00E06750"/>
    <w:rsid w:val="00E078B4"/>
    <w:rsid w:val="00E078ED"/>
    <w:rsid w:val="00E118D7"/>
    <w:rsid w:val="00E2420B"/>
    <w:rsid w:val="00E278B7"/>
    <w:rsid w:val="00E3654B"/>
    <w:rsid w:val="00E412A8"/>
    <w:rsid w:val="00E4773D"/>
    <w:rsid w:val="00E47EE3"/>
    <w:rsid w:val="00E50687"/>
    <w:rsid w:val="00E520D0"/>
    <w:rsid w:val="00E52113"/>
    <w:rsid w:val="00E5473D"/>
    <w:rsid w:val="00E55522"/>
    <w:rsid w:val="00E5603E"/>
    <w:rsid w:val="00E600ED"/>
    <w:rsid w:val="00E6657F"/>
    <w:rsid w:val="00E71D0A"/>
    <w:rsid w:val="00E75C9F"/>
    <w:rsid w:val="00E75F0C"/>
    <w:rsid w:val="00E853B7"/>
    <w:rsid w:val="00E865A9"/>
    <w:rsid w:val="00E930C5"/>
    <w:rsid w:val="00E9655E"/>
    <w:rsid w:val="00E975B8"/>
    <w:rsid w:val="00EA277E"/>
    <w:rsid w:val="00EA7579"/>
    <w:rsid w:val="00EB5C61"/>
    <w:rsid w:val="00EB665E"/>
    <w:rsid w:val="00EC086E"/>
    <w:rsid w:val="00EC52AA"/>
    <w:rsid w:val="00ED0BC1"/>
    <w:rsid w:val="00ED1BCF"/>
    <w:rsid w:val="00EE14F1"/>
    <w:rsid w:val="00EF4E54"/>
    <w:rsid w:val="00EF53CB"/>
    <w:rsid w:val="00F0150A"/>
    <w:rsid w:val="00F072F5"/>
    <w:rsid w:val="00F10248"/>
    <w:rsid w:val="00F11E1D"/>
    <w:rsid w:val="00F124BE"/>
    <w:rsid w:val="00F127DF"/>
    <w:rsid w:val="00F17B3C"/>
    <w:rsid w:val="00F224E5"/>
    <w:rsid w:val="00F26115"/>
    <w:rsid w:val="00F43F4C"/>
    <w:rsid w:val="00F45145"/>
    <w:rsid w:val="00F54AD2"/>
    <w:rsid w:val="00F60F11"/>
    <w:rsid w:val="00F63A28"/>
    <w:rsid w:val="00F63CFF"/>
    <w:rsid w:val="00F74949"/>
    <w:rsid w:val="00F74CFF"/>
    <w:rsid w:val="00F758AF"/>
    <w:rsid w:val="00F75F99"/>
    <w:rsid w:val="00F837FD"/>
    <w:rsid w:val="00F87EA9"/>
    <w:rsid w:val="00F92C83"/>
    <w:rsid w:val="00F97686"/>
    <w:rsid w:val="00FA4F26"/>
    <w:rsid w:val="00FB4BDD"/>
    <w:rsid w:val="00FB688A"/>
    <w:rsid w:val="00FC0058"/>
    <w:rsid w:val="00FC1FEE"/>
    <w:rsid w:val="00FC2421"/>
    <w:rsid w:val="00FD0378"/>
    <w:rsid w:val="00FE0584"/>
    <w:rsid w:val="00FF51E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1E4F-0768-46B1-9975-C65B4EC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825CD7"/>
    <w:pPr>
      <w:keepNext/>
      <w:outlineLvl w:val="0"/>
    </w:pPr>
    <w:rPr>
      <w:rFonts w:ascii="Arial" w:hAnsi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71B55"/>
    <w:rPr>
      <w:lang w:eastAsia="en-US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860F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evision">
    <w:name w:val="Revision"/>
    <w:hidden/>
    <w:uiPriority w:val="99"/>
    <w:semiHidden/>
    <w:rsid w:val="009C0D65"/>
    <w:rPr>
      <w:lang w:eastAsia="en-US"/>
    </w:rPr>
  </w:style>
  <w:style w:type="paragraph" w:styleId="NormalWeb">
    <w:name w:val="Normal (Web)"/>
    <w:basedOn w:val="Normal"/>
    <w:uiPriority w:val="99"/>
    <w:unhideWhenUsed/>
    <w:rsid w:val="00AA7496"/>
    <w:pPr>
      <w:spacing w:before="100" w:beforeAutospacing="1" w:after="100" w:afterAutospacing="1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3B2434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CB1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ferraro@icrc.org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6AEE78C3639FA94FBB165E658C1BD3C0" ma:contentTypeVersion="31" ma:contentTypeDescription="Upload Form" ma:contentTypeScope="" ma:versionID="6b5d6585d470a735622093742fa42a57">
  <xsd:schema xmlns:xsd="http://www.w3.org/2001/XMLSchema" xmlns:xs="http://www.w3.org/2001/XMLSchema" xmlns:p="http://schemas.microsoft.com/office/2006/metadata/properties" xmlns:ns1="http://schemas.microsoft.com/sharepoint/v3" xmlns:ns2="7541acdc-5479-4180-87ee-2b132a38e59f" xmlns:ns3="a8a2af44-4b8d-404b-a8bd-4186350a523c" targetNamespace="http://schemas.microsoft.com/office/2006/metadata/properties" ma:root="true" ma:fieldsID="3d799f9a2ededbcf71891d15177f9003" ns1:_="" ns2:_="" ns3:_="">
    <xsd:import namespace="http://schemas.microsoft.com/sharepoint/v3"/>
    <xsd:import namespace="7541acdc-5479-4180-87ee-2b132a38e59f"/>
    <xsd:import namespace="a8a2af44-4b8d-404b-a8bd-4186350a523c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2:ICRCIMP_Topic_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acdc-5479-4180-87ee-2b132a38e59f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1;#No Country|1f55df4f-c103-4303-b974-426a8e7d1d06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2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Topic_H" ma:index="36" nillable="true" ma:taxonomy="true" ma:internalName="ICRCIMP_Topic_H" ma:taxonomyFieldName="Key_x0020_Issue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09785cf0-c45e-44cd-a323-9caff63e79a2}" ma:internalName="TaxCatchAll" ma:showField="CatchAllData" ma:web="7541acdc-5479-4180-87ee-2b132a38e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09785cf0-c45e-44cd-a323-9caff63e79a2}" ma:internalName="TaxCatchAllLabel" ma:readOnly="true" ma:showField="CatchAllDataLabel" ma:web="7541acdc-5479-4180-87ee-2b132a38e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5889-D88A-40C5-A07B-64D97C96FF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59F7DF-2AF5-4F7C-8657-875F1C6216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0E8F8E-57F5-4DDD-AC19-76923EF0681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8a2af44-4b8d-404b-a8bd-4186350a523c"/>
    <ds:schemaRef ds:uri="7541acdc-5479-4180-87ee-2b132a38e5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FE8D76-F7E5-490A-96F6-FD659C78A7D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266E041-F6AE-4FD4-98AD-1171F5D60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41acdc-5479-4180-87ee-2b132a38e59f"/>
    <ds:schemaRef ds:uri="a8a2af44-4b8d-404b-a8bd-4186350a5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0E9D4C-D3DD-4680-A6F9-92502DE9A4D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A54A206-369D-43B9-8A65-CA5B54A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8183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of the Red Cross and Red Crescent</vt:lpstr>
    </vt:vector>
  </TitlesOfParts>
  <Company>ICRC</Company>
  <LinksUpToDate>false</LinksUpToDate>
  <CharactersWithSpaces>9506</CharactersWithSpaces>
  <SharedDoc>false</SharedDoc>
  <HLinks>
    <vt:vector size="6" baseType="variant"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mailto:tferraro@icrc.org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María M. Ambrosoni</dc:creator>
  <cp:keywords/>
  <dc:description>For mailing - info on recording of pledges at the International Conference</dc:description>
  <cp:lastModifiedBy>Michal Sonja DREIFUSS</cp:lastModifiedBy>
  <cp:revision>2</cp:revision>
  <cp:lastPrinted>2019-05-15T07:37:00Z</cp:lastPrinted>
  <dcterms:created xsi:type="dcterms:W3CDTF">2019-11-12T09:05:00Z</dcterms:created>
  <dcterms:modified xsi:type="dcterms:W3CDTF">2019-11-12T09:05:00Z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ti_ItemDeclaredRecord">
    <vt:lpwstr>2019-05-17T11:38:54Z</vt:lpwstr>
  </property>
  <property fmtid="{D5CDD505-2E9C-101B-9397-08002B2CF9AE}" pid="3" name="_vti_ItemHoldRecordStatus">
    <vt:lpwstr>16</vt:lpwstr>
  </property>
  <property fmtid="{D5CDD505-2E9C-101B-9397-08002B2CF9AE}" pid="4" name="ecm_RecordRestrictions">
    <vt:lpwstr>None</vt:lpwstr>
  </property>
  <property fmtid="{D5CDD505-2E9C-101B-9397-08002B2CF9AE}" pid="5" name="ICRCIMP_IsRecord">
    <vt:lpwstr>0</vt:lpwstr>
  </property>
  <property fmtid="{D5CDD505-2E9C-101B-9397-08002B2CF9AE}" pid="6" name="Period start">
    <vt:lpwstr/>
  </property>
  <property fmtid="{D5CDD505-2E9C-101B-9397-08002B2CF9AE}" pid="7" name="ICRCIMP_RMIdentifier">
    <vt:lpwstr/>
  </property>
  <property fmtid="{D5CDD505-2E9C-101B-9397-08002B2CF9AE}" pid="8" name="ICRCIMP_RMUnitInCharge_H">
    <vt:lpwstr/>
  </property>
  <property fmtid="{D5CDD505-2E9C-101B-9397-08002B2CF9AE}" pid="9" name="ICRCIMP_Keyword_H">
    <vt:lpwstr/>
  </property>
  <property fmtid="{D5CDD505-2E9C-101B-9397-08002B2CF9AE}" pid="10" name="TaxCatchAll">
    <vt:lpwstr/>
  </property>
  <property fmtid="{D5CDD505-2E9C-101B-9397-08002B2CF9AE}" pid="11" name="ICRCIMP_Topic_H">
    <vt:lpwstr/>
  </property>
  <property fmtid="{D5CDD505-2E9C-101B-9397-08002B2CF9AE}" pid="12" name="ICRCIMP_RMTransfer">
    <vt:lpwstr>, </vt:lpwstr>
  </property>
  <property fmtid="{D5CDD505-2E9C-101B-9397-08002B2CF9AE}" pid="13" name="IsIntranet">
    <vt:lpwstr>0</vt:lpwstr>
  </property>
  <property fmtid="{D5CDD505-2E9C-101B-9397-08002B2CF9AE}" pid="14" name="RatingCount">
    <vt:lpwstr/>
  </property>
  <property fmtid="{D5CDD505-2E9C-101B-9397-08002B2CF9AE}" pid="15" name="ICRCIMP_OrganizationalAccronym_H">
    <vt:lpwstr/>
  </property>
  <property fmtid="{D5CDD505-2E9C-101B-9397-08002B2CF9AE}" pid="16" name="ICRCIMP_IsFocus">
    <vt:lpwstr>0</vt:lpwstr>
  </property>
  <property fmtid="{D5CDD505-2E9C-101B-9397-08002B2CF9AE}" pid="17" name="ICRCIMP_Country_H">
    <vt:lpwstr>No Country|1f55df4f-c103-4303-b974-426a8e7d1d06</vt:lpwstr>
  </property>
  <property fmtid="{D5CDD505-2E9C-101B-9397-08002B2CF9AE}" pid="18" name="AverageRating">
    <vt:lpwstr/>
  </property>
  <property fmtid="{D5CDD505-2E9C-101B-9397-08002B2CF9AE}" pid="19" name="ICRCIMP_DocumentType_H">
    <vt:lpwstr/>
  </property>
  <property fmtid="{D5CDD505-2E9C-101B-9397-08002B2CF9AE}" pid="20" name="Period end">
    <vt:lpwstr/>
  </property>
  <property fmtid="{D5CDD505-2E9C-101B-9397-08002B2CF9AE}" pid="21" name="ICRCIMP_IHT_H">
    <vt:lpwstr>Internal|23eb6094-56fc-4ad4-8ae2-cf1575a694f0</vt:lpwstr>
  </property>
  <property fmtid="{D5CDD505-2E9C-101B-9397-08002B2CF9AE}" pid="22" name="ICRCIMP_BusinessFunction_H">
    <vt:lpwstr/>
  </property>
</Properties>
</file>