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177C0" w14:textId="1750F30C" w:rsidR="00B74D3F" w:rsidRDefault="00B74D3F" w:rsidP="00435652">
      <w:pPr>
        <w:pStyle w:val="BodySingle"/>
        <w:jc w:val="center"/>
        <w:rPr>
          <w:rFonts w:cs="Arial"/>
          <w:sz w:val="22"/>
          <w:szCs w:val="22"/>
        </w:rPr>
      </w:pPr>
      <w:r>
        <w:rPr>
          <w:noProof/>
          <w:sz w:val="22"/>
          <w:szCs w:val="22"/>
          <w:lang w:eastAsia="fr-FR"/>
        </w:rPr>
        <w:drawing>
          <wp:anchor distT="0" distB="0" distL="114300" distR="114300" simplePos="0" relativeHeight="251658240" behindDoc="0" locked="0" layoutInCell="1" allowOverlap="1" wp14:anchorId="63F62F84" wp14:editId="39FC75C0">
            <wp:simplePos x="0" y="0"/>
            <wp:positionH relativeFrom="column">
              <wp:posOffset>1233170</wp:posOffset>
            </wp:positionH>
            <wp:positionV relativeFrom="paragraph">
              <wp:posOffset>-314960</wp:posOffset>
            </wp:positionV>
            <wp:extent cx="3413760" cy="781050"/>
            <wp:effectExtent l="0" t="0" r="0" b="0"/>
            <wp:wrapNone/>
            <wp:docPr id="1" name="Picture 1" descr="Logo-33InternationalConference_2019-EN-01_10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33InternationalConference_2019-EN-01_10cm"/>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376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14DCA" w14:textId="77777777" w:rsidR="00B74D3F" w:rsidRDefault="00B74D3F" w:rsidP="00435652">
      <w:pPr>
        <w:pStyle w:val="BodySingle"/>
        <w:jc w:val="center"/>
        <w:rPr>
          <w:rFonts w:cs="Arial"/>
          <w:sz w:val="22"/>
          <w:szCs w:val="22"/>
          <w:lang w:val="en-US"/>
        </w:rPr>
      </w:pPr>
    </w:p>
    <w:p w14:paraId="18B70F9E" w14:textId="0B13F2A9" w:rsidR="006E5138" w:rsidRPr="001217C0" w:rsidRDefault="006E5138" w:rsidP="00435652">
      <w:pPr>
        <w:pStyle w:val="BodySingle"/>
        <w:jc w:val="center"/>
        <w:rPr>
          <w:rFonts w:cs="Arial"/>
          <w:sz w:val="22"/>
          <w:szCs w:val="22"/>
          <w:lang w:val="en-US"/>
        </w:rPr>
      </w:pPr>
    </w:p>
    <w:p w14:paraId="41DEEEA0" w14:textId="07F79E94" w:rsidR="00314A48" w:rsidRPr="001217C0" w:rsidRDefault="00622E87" w:rsidP="00435652">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rFonts w:ascii="Arial" w:hAnsi="Arial" w:cs="Arial"/>
          <w:b/>
          <w:sz w:val="22"/>
          <w:szCs w:val="22"/>
        </w:rPr>
      </w:pPr>
      <w:r>
        <w:rPr>
          <w:rFonts w:ascii="Arial" w:hAnsi="Arial"/>
          <w:b/>
          <w:sz w:val="22"/>
          <w:szCs w:val="22"/>
        </w:rPr>
        <w:t>Modèle d</w:t>
      </w:r>
      <w:r w:rsidR="00474C4A">
        <w:rPr>
          <w:rFonts w:ascii="Arial" w:hAnsi="Arial"/>
          <w:b/>
          <w:sz w:val="22"/>
          <w:szCs w:val="22"/>
        </w:rPr>
        <w:t>’</w:t>
      </w:r>
      <w:r>
        <w:rPr>
          <w:rFonts w:ascii="Arial" w:hAnsi="Arial"/>
          <w:b/>
          <w:sz w:val="22"/>
          <w:szCs w:val="22"/>
        </w:rPr>
        <w:t>engagement</w:t>
      </w:r>
    </w:p>
    <w:p w14:paraId="20753BE1" w14:textId="77777777" w:rsidR="00213029" w:rsidRPr="001217C0" w:rsidRDefault="00213029" w:rsidP="00435652">
      <w:pPr>
        <w:pStyle w:val="Indent1"/>
        <w:rPr>
          <w:rFonts w:ascii="Arial" w:hAnsi="Arial" w:cs="Arial"/>
          <w:sz w:val="22"/>
          <w:szCs w:val="22"/>
          <w:lang w:val="en-US"/>
        </w:rPr>
      </w:pPr>
    </w:p>
    <w:p w14:paraId="4C86F2B7" w14:textId="39368FFE" w:rsidR="00AF7A8D" w:rsidRPr="001217C0" w:rsidRDefault="00622E87" w:rsidP="00435652">
      <w:pPr>
        <w:pStyle w:val="Titre1"/>
        <w:rPr>
          <w:rFonts w:cs="Arial"/>
          <w:szCs w:val="22"/>
          <w:u w:val="single"/>
        </w:rPr>
      </w:pPr>
      <w:r>
        <w:rPr>
          <w:szCs w:val="22"/>
          <w:u w:val="single"/>
        </w:rPr>
        <w:t>Intitulé du modèle d</w:t>
      </w:r>
      <w:r w:rsidR="00474C4A">
        <w:rPr>
          <w:szCs w:val="22"/>
          <w:u w:val="single"/>
        </w:rPr>
        <w:t>’</w:t>
      </w:r>
      <w:r>
        <w:rPr>
          <w:szCs w:val="22"/>
          <w:u w:val="single"/>
        </w:rPr>
        <w:t>engagement</w:t>
      </w:r>
      <w:r w:rsidR="00F02B40" w:rsidRPr="00F02B40">
        <w:rPr>
          <w:szCs w:val="22"/>
        </w:rPr>
        <w:t> :</w:t>
      </w:r>
    </w:p>
    <w:p w14:paraId="701A375C" w14:textId="77777777" w:rsidR="00B36BAF" w:rsidRPr="001217C0" w:rsidRDefault="00B36BAF" w:rsidP="00435652">
      <w:pPr>
        <w:pStyle w:val="Indent1"/>
        <w:rPr>
          <w:rFonts w:ascii="Arial" w:hAnsi="Arial" w:cs="Arial"/>
          <w:i/>
          <w:sz w:val="22"/>
          <w:szCs w:val="22"/>
          <w:lang w:val="en-US"/>
        </w:rPr>
      </w:pPr>
    </w:p>
    <w:p w14:paraId="38CABF4E" w14:textId="1D6DB913" w:rsidR="00F224E5" w:rsidRPr="001217C0" w:rsidRDefault="00D12758" w:rsidP="003E70B4">
      <w:pPr>
        <w:shd w:val="clear" w:color="auto" w:fill="FFFFFF"/>
        <w:rPr>
          <w:rFonts w:ascii="Arial" w:hAnsi="Arial" w:cs="Arial"/>
          <w:sz w:val="22"/>
          <w:szCs w:val="22"/>
        </w:rPr>
      </w:pPr>
      <w:r>
        <w:rPr>
          <w:rFonts w:ascii="Arial" w:hAnsi="Arial"/>
          <w:sz w:val="22"/>
          <w:szCs w:val="22"/>
        </w:rPr>
        <w:t>Modèle d</w:t>
      </w:r>
      <w:r w:rsidR="00474C4A">
        <w:rPr>
          <w:rFonts w:ascii="Arial" w:hAnsi="Arial"/>
          <w:sz w:val="22"/>
          <w:szCs w:val="22"/>
        </w:rPr>
        <w:t>’</w:t>
      </w:r>
      <w:r>
        <w:rPr>
          <w:rFonts w:ascii="Arial" w:hAnsi="Arial"/>
          <w:sz w:val="22"/>
          <w:szCs w:val="22"/>
        </w:rPr>
        <w:t>engagement sur l</w:t>
      </w:r>
      <w:r w:rsidR="00F02B40">
        <w:rPr>
          <w:rFonts w:ascii="Arial" w:hAnsi="Arial"/>
          <w:sz w:val="22"/>
          <w:szCs w:val="22"/>
        </w:rPr>
        <w:t>a p</w:t>
      </w:r>
      <w:r>
        <w:rPr>
          <w:rFonts w:ascii="Arial" w:hAnsi="Arial"/>
          <w:sz w:val="22"/>
          <w:szCs w:val="22"/>
        </w:rPr>
        <w:t xml:space="preserve">révention et </w:t>
      </w:r>
      <w:r w:rsidR="00F02B40">
        <w:rPr>
          <w:rFonts w:ascii="Arial" w:hAnsi="Arial"/>
          <w:sz w:val="22"/>
          <w:szCs w:val="22"/>
        </w:rPr>
        <w:t xml:space="preserve">la lutte contre la </w:t>
      </w:r>
      <w:r>
        <w:rPr>
          <w:rFonts w:ascii="Arial" w:hAnsi="Arial"/>
          <w:sz w:val="22"/>
          <w:szCs w:val="22"/>
        </w:rPr>
        <w:t>violence sexuelle et sexiste</w:t>
      </w:r>
    </w:p>
    <w:p w14:paraId="5519E8FA" w14:textId="77777777" w:rsidR="00B36BAF" w:rsidRPr="001217C0" w:rsidRDefault="00B36BAF" w:rsidP="00435652">
      <w:pPr>
        <w:pStyle w:val="Indent1"/>
        <w:rPr>
          <w:rFonts w:ascii="Arial" w:hAnsi="Arial" w:cs="Arial"/>
          <w:b/>
          <w:sz w:val="22"/>
          <w:szCs w:val="22"/>
          <w:lang w:val="en-US"/>
        </w:rPr>
      </w:pPr>
    </w:p>
    <w:p w14:paraId="5E0BB043" w14:textId="77777777" w:rsidR="009860F4" w:rsidRPr="001217C0" w:rsidRDefault="002B0196" w:rsidP="00435652">
      <w:pPr>
        <w:pStyle w:val="Indent1"/>
        <w:rPr>
          <w:rFonts w:ascii="Arial" w:hAnsi="Arial" w:cs="Arial"/>
          <w:b/>
          <w:sz w:val="22"/>
          <w:szCs w:val="22"/>
          <w:u w:val="single"/>
        </w:rPr>
      </w:pPr>
      <w:r>
        <w:rPr>
          <w:rFonts w:ascii="Arial" w:hAnsi="Arial"/>
          <w:b/>
          <w:sz w:val="22"/>
          <w:szCs w:val="22"/>
          <w:u w:val="single"/>
        </w:rPr>
        <w:t>Engagement pour la période 2019-2023</w:t>
      </w:r>
      <w:r w:rsidRPr="00F02B40">
        <w:rPr>
          <w:rFonts w:ascii="Arial" w:hAnsi="Arial"/>
          <w:b/>
          <w:sz w:val="22"/>
          <w:szCs w:val="22"/>
        </w:rPr>
        <w:t xml:space="preserve"> : </w:t>
      </w:r>
    </w:p>
    <w:p w14:paraId="0175D455" w14:textId="77777777" w:rsidR="002B0196" w:rsidRPr="001217C0" w:rsidRDefault="002B0196" w:rsidP="00435652">
      <w:pPr>
        <w:pStyle w:val="Indent1"/>
        <w:rPr>
          <w:rFonts w:ascii="Arial" w:hAnsi="Arial" w:cs="Arial"/>
          <w:b/>
          <w:sz w:val="22"/>
          <w:szCs w:val="22"/>
          <w:u w:val="single"/>
          <w:lang w:val="en-US"/>
        </w:rPr>
      </w:pPr>
    </w:p>
    <w:p w14:paraId="205F7A20" w14:textId="77777777" w:rsidR="002B0196" w:rsidRPr="001217C0" w:rsidRDefault="002B0196" w:rsidP="00E22BAF">
      <w:pPr>
        <w:pStyle w:val="Indent1"/>
        <w:numPr>
          <w:ilvl w:val="0"/>
          <w:numId w:val="1"/>
        </w:numPr>
        <w:tabs>
          <w:tab w:val="clear" w:pos="396"/>
          <w:tab w:val="clear" w:pos="741"/>
          <w:tab w:val="clear" w:pos="1134"/>
          <w:tab w:val="clear" w:pos="1701"/>
          <w:tab w:val="left" w:pos="360"/>
        </w:tabs>
        <w:ind w:hanging="720"/>
        <w:rPr>
          <w:rFonts w:ascii="Arial" w:hAnsi="Arial" w:cs="Arial"/>
          <w:i/>
          <w:sz w:val="22"/>
          <w:szCs w:val="22"/>
        </w:rPr>
      </w:pPr>
      <w:r>
        <w:rPr>
          <w:rFonts w:ascii="Arial" w:hAnsi="Arial"/>
          <w:i/>
          <w:sz w:val="22"/>
          <w:szCs w:val="22"/>
        </w:rPr>
        <w:t xml:space="preserve">Introduction </w:t>
      </w:r>
    </w:p>
    <w:p w14:paraId="09DCEEC7" w14:textId="77777777" w:rsidR="00781851" w:rsidRPr="001217C0" w:rsidRDefault="00781851" w:rsidP="00D217A8">
      <w:pPr>
        <w:pStyle w:val="Indent1"/>
        <w:tabs>
          <w:tab w:val="clear" w:pos="396"/>
          <w:tab w:val="clear" w:pos="741"/>
          <w:tab w:val="clear" w:pos="1134"/>
          <w:tab w:val="clear" w:pos="1701"/>
          <w:tab w:val="left" w:pos="360"/>
        </w:tabs>
        <w:ind w:left="0" w:firstLine="0"/>
        <w:rPr>
          <w:rFonts w:ascii="Arial" w:hAnsi="Arial" w:cs="Arial"/>
          <w:sz w:val="22"/>
          <w:szCs w:val="22"/>
          <w:lang w:val="en-US"/>
        </w:rPr>
      </w:pPr>
    </w:p>
    <w:p w14:paraId="7BC0FC67" w14:textId="4DD178F1" w:rsidR="00D217A8" w:rsidRPr="001217C0" w:rsidRDefault="00D217A8" w:rsidP="00E22BAF">
      <w:pPr>
        <w:numPr>
          <w:ilvl w:val="0"/>
          <w:numId w:val="4"/>
        </w:numPr>
        <w:shd w:val="clear" w:color="auto" w:fill="FFFFFF"/>
        <w:ind w:left="360"/>
        <w:jc w:val="both"/>
        <w:rPr>
          <w:rFonts w:ascii="Arial" w:hAnsi="Arial" w:cs="Arial"/>
          <w:sz w:val="22"/>
          <w:szCs w:val="22"/>
        </w:rPr>
      </w:pPr>
      <w:r>
        <w:rPr>
          <w:rFonts w:ascii="Arial" w:hAnsi="Arial"/>
          <w:sz w:val="22"/>
          <w:szCs w:val="22"/>
        </w:rPr>
        <w:t>Nous rappelons les engagements déjà pris pour prévenir et combattre la violence sexuelle et sexiste, notamment la résolution 3 sur la violence sexuelle et sexiste de la XXXII</w:t>
      </w:r>
      <w:r>
        <w:rPr>
          <w:rFonts w:ascii="Arial" w:hAnsi="Arial"/>
          <w:sz w:val="22"/>
          <w:szCs w:val="22"/>
          <w:vertAlign w:val="superscript"/>
        </w:rPr>
        <w:t>e</w:t>
      </w:r>
      <w:r>
        <w:rPr>
          <w:rFonts w:ascii="Arial" w:hAnsi="Arial"/>
          <w:sz w:val="22"/>
          <w:szCs w:val="22"/>
        </w:rPr>
        <w:t xml:space="preserve"> Conférence internationale de la Croix-Rouge et du Croissant-Rouge, </w:t>
      </w:r>
      <w:r>
        <w:rPr>
          <w:rFonts w:ascii="Arial" w:hAnsi="Arial"/>
          <w:i/>
          <w:sz w:val="22"/>
          <w:szCs w:val="22"/>
        </w:rPr>
        <w:t xml:space="preserve">[les États et les Sociétés nationales pourront ajouter selon les cas : </w:t>
      </w:r>
      <w:r w:rsidR="00AF74D8">
        <w:rPr>
          <w:rFonts w:ascii="Arial" w:hAnsi="Arial"/>
          <w:i/>
          <w:sz w:val="22"/>
          <w:szCs w:val="22"/>
        </w:rPr>
        <w:t>le</w:t>
      </w:r>
      <w:r w:rsidR="0072282F">
        <w:rPr>
          <w:rFonts w:ascii="Arial" w:hAnsi="Arial"/>
          <w:i/>
          <w:sz w:val="22"/>
          <w:szCs w:val="22"/>
        </w:rPr>
        <w:t>s</w:t>
      </w:r>
      <w:r w:rsidR="00AF74D8">
        <w:rPr>
          <w:rFonts w:ascii="Arial" w:hAnsi="Arial"/>
          <w:i/>
          <w:sz w:val="22"/>
          <w:szCs w:val="22"/>
        </w:rPr>
        <w:t xml:space="preserve"> </w:t>
      </w:r>
      <w:r>
        <w:rPr>
          <w:rFonts w:ascii="Arial" w:hAnsi="Arial"/>
          <w:i/>
          <w:sz w:val="22"/>
          <w:szCs w:val="22"/>
        </w:rPr>
        <w:t>engagements pris en la matière par les membres de la XXXII</w:t>
      </w:r>
      <w:r>
        <w:rPr>
          <w:rFonts w:ascii="Arial" w:hAnsi="Arial"/>
          <w:i/>
          <w:sz w:val="22"/>
          <w:szCs w:val="22"/>
          <w:vertAlign w:val="superscript"/>
        </w:rPr>
        <w:t>e</w:t>
      </w:r>
      <w:r>
        <w:rPr>
          <w:rFonts w:ascii="Arial" w:hAnsi="Arial"/>
          <w:i/>
          <w:sz w:val="22"/>
          <w:szCs w:val="22"/>
        </w:rPr>
        <w:t xml:space="preserve"> Conférence internationale de la Croix-Rouge et du Croissant-Rouge, </w:t>
      </w:r>
      <w:r w:rsidR="00F77D01">
        <w:rPr>
          <w:rFonts w:ascii="Arial" w:hAnsi="Arial"/>
          <w:i/>
          <w:sz w:val="22"/>
          <w:szCs w:val="22"/>
        </w:rPr>
        <w:t xml:space="preserve">les </w:t>
      </w:r>
      <w:r>
        <w:rPr>
          <w:rFonts w:ascii="Arial" w:hAnsi="Arial"/>
          <w:i/>
          <w:sz w:val="22"/>
          <w:szCs w:val="22"/>
        </w:rPr>
        <w:t>engagements pris à la Conférence d</w:t>
      </w:r>
      <w:r w:rsidR="00474C4A">
        <w:rPr>
          <w:rFonts w:ascii="Arial" w:hAnsi="Arial"/>
          <w:i/>
          <w:sz w:val="22"/>
          <w:szCs w:val="22"/>
        </w:rPr>
        <w:t>’</w:t>
      </w:r>
      <w:r>
        <w:rPr>
          <w:rFonts w:ascii="Arial" w:hAnsi="Arial"/>
          <w:i/>
          <w:sz w:val="22"/>
          <w:szCs w:val="22"/>
        </w:rPr>
        <w:t>Oslo sur l</w:t>
      </w:r>
      <w:r w:rsidR="00474C4A">
        <w:rPr>
          <w:rFonts w:ascii="Arial" w:hAnsi="Arial"/>
          <w:i/>
          <w:sz w:val="22"/>
          <w:szCs w:val="22"/>
        </w:rPr>
        <w:t>’</w:t>
      </w:r>
      <w:r>
        <w:rPr>
          <w:rFonts w:ascii="Arial" w:hAnsi="Arial"/>
          <w:i/>
          <w:sz w:val="22"/>
          <w:szCs w:val="22"/>
        </w:rPr>
        <w:t>élimination de la violence sexuelle et sexiste dans</w:t>
      </w:r>
      <w:r w:rsidR="00EA0206">
        <w:rPr>
          <w:rFonts w:ascii="Arial" w:hAnsi="Arial"/>
          <w:i/>
          <w:sz w:val="22"/>
          <w:szCs w:val="22"/>
        </w:rPr>
        <w:t xml:space="preserve"> les crises humanitaires</w:t>
      </w:r>
      <w:r w:rsidR="006271AF">
        <w:rPr>
          <w:rFonts w:ascii="Arial" w:hAnsi="Arial"/>
          <w:i/>
          <w:sz w:val="22"/>
          <w:szCs w:val="22"/>
        </w:rPr>
        <w:t>, tenue en</w:t>
      </w:r>
      <w:r w:rsidR="00EA0206">
        <w:rPr>
          <w:rFonts w:ascii="Arial" w:hAnsi="Arial"/>
          <w:i/>
          <w:sz w:val="22"/>
          <w:szCs w:val="22"/>
        </w:rPr>
        <w:t xml:space="preserve"> mai 20</w:t>
      </w:r>
      <w:r>
        <w:rPr>
          <w:rFonts w:ascii="Arial" w:hAnsi="Arial"/>
          <w:i/>
          <w:sz w:val="22"/>
          <w:szCs w:val="22"/>
        </w:rPr>
        <w:t xml:space="preserve">19, et </w:t>
      </w:r>
      <w:r w:rsidR="00F77D01">
        <w:rPr>
          <w:rFonts w:ascii="Arial" w:hAnsi="Arial"/>
          <w:i/>
          <w:sz w:val="22"/>
          <w:szCs w:val="22"/>
        </w:rPr>
        <w:t>d’</w:t>
      </w:r>
      <w:r>
        <w:rPr>
          <w:rFonts w:ascii="Arial" w:hAnsi="Arial"/>
          <w:i/>
          <w:sz w:val="22"/>
          <w:szCs w:val="22"/>
        </w:rPr>
        <w:t>autres engagements pris dans des instances multilatérales, tels que l</w:t>
      </w:r>
      <w:r w:rsidR="00474C4A">
        <w:rPr>
          <w:rFonts w:ascii="Arial" w:hAnsi="Arial"/>
          <w:i/>
          <w:sz w:val="22"/>
          <w:szCs w:val="22"/>
        </w:rPr>
        <w:t>’</w:t>
      </w:r>
      <w:r>
        <w:rPr>
          <w:rFonts w:ascii="Arial" w:hAnsi="Arial"/>
          <w:i/>
          <w:sz w:val="22"/>
          <w:szCs w:val="22"/>
        </w:rPr>
        <w:t>Appel à l</w:t>
      </w:r>
      <w:r w:rsidR="00474C4A">
        <w:rPr>
          <w:rFonts w:ascii="Arial" w:hAnsi="Arial"/>
          <w:i/>
          <w:sz w:val="22"/>
          <w:szCs w:val="22"/>
        </w:rPr>
        <w:t>’</w:t>
      </w:r>
      <w:r>
        <w:rPr>
          <w:rFonts w:ascii="Arial" w:hAnsi="Arial"/>
          <w:i/>
          <w:sz w:val="22"/>
          <w:szCs w:val="22"/>
        </w:rPr>
        <w:t>action pour la protection contre la violence sexiste dans les situations d</w:t>
      </w:r>
      <w:r w:rsidR="00474C4A">
        <w:rPr>
          <w:rFonts w:ascii="Arial" w:hAnsi="Arial"/>
          <w:i/>
          <w:sz w:val="22"/>
          <w:szCs w:val="22"/>
        </w:rPr>
        <w:t>’</w:t>
      </w:r>
      <w:r>
        <w:rPr>
          <w:rFonts w:ascii="Arial" w:hAnsi="Arial"/>
          <w:i/>
          <w:sz w:val="22"/>
          <w:szCs w:val="22"/>
        </w:rPr>
        <w:t>urgence]</w:t>
      </w:r>
      <w:r>
        <w:rPr>
          <w:rFonts w:ascii="Arial" w:hAnsi="Arial"/>
          <w:sz w:val="22"/>
          <w:szCs w:val="22"/>
        </w:rPr>
        <w:t xml:space="preserve">, </w:t>
      </w:r>
      <w:r w:rsidR="00C15B5B">
        <w:rPr>
          <w:rFonts w:ascii="Arial" w:hAnsi="Arial"/>
          <w:sz w:val="22"/>
          <w:szCs w:val="22"/>
        </w:rPr>
        <w:t xml:space="preserve">nous </w:t>
      </w:r>
      <w:r>
        <w:rPr>
          <w:rFonts w:ascii="Arial" w:hAnsi="Arial"/>
          <w:sz w:val="22"/>
          <w:szCs w:val="22"/>
        </w:rPr>
        <w:t xml:space="preserve">réaffirmons leur pertinence et sommes résolus à accélérer la prise de mesures pour leur mise en œuvre ; </w:t>
      </w:r>
    </w:p>
    <w:p w14:paraId="359FF524" w14:textId="77777777" w:rsidR="00D12758" w:rsidRPr="001217C0" w:rsidRDefault="00D12758" w:rsidP="006A521F">
      <w:pPr>
        <w:shd w:val="clear" w:color="auto" w:fill="FFFFFF"/>
        <w:jc w:val="both"/>
        <w:rPr>
          <w:rFonts w:ascii="Arial" w:hAnsi="Arial" w:cs="Arial"/>
          <w:sz w:val="22"/>
          <w:szCs w:val="22"/>
          <w:lang w:val="en-US" w:eastAsia="fr-CH"/>
        </w:rPr>
      </w:pPr>
    </w:p>
    <w:p w14:paraId="548C2FBB" w14:textId="0D14E6E3" w:rsidR="00D12758" w:rsidRPr="001217C0" w:rsidRDefault="00D12758" w:rsidP="00E22BAF">
      <w:pPr>
        <w:numPr>
          <w:ilvl w:val="0"/>
          <w:numId w:val="4"/>
        </w:numPr>
        <w:shd w:val="clear" w:color="auto" w:fill="FFFFFF"/>
        <w:ind w:left="360"/>
        <w:jc w:val="both"/>
        <w:rPr>
          <w:rFonts w:ascii="Arial" w:hAnsi="Arial" w:cs="Arial"/>
          <w:sz w:val="22"/>
          <w:szCs w:val="22"/>
        </w:rPr>
      </w:pPr>
      <w:r>
        <w:rPr>
          <w:rFonts w:ascii="Arial" w:hAnsi="Arial"/>
          <w:sz w:val="22"/>
          <w:szCs w:val="22"/>
        </w:rPr>
        <w:t>Nous nous félicitons de la Résolution [proposée] à la XXXIII</w:t>
      </w:r>
      <w:r>
        <w:rPr>
          <w:rFonts w:ascii="Arial" w:hAnsi="Arial"/>
          <w:sz w:val="22"/>
          <w:szCs w:val="22"/>
          <w:vertAlign w:val="superscript"/>
        </w:rPr>
        <w:t>e</w:t>
      </w:r>
      <w:r>
        <w:rPr>
          <w:rFonts w:ascii="Arial" w:hAnsi="Arial"/>
          <w:sz w:val="22"/>
          <w:szCs w:val="22"/>
        </w:rPr>
        <w:t> Conférence internationale sur le thème « S</w:t>
      </w:r>
      <w:r w:rsidR="00474C4A">
        <w:rPr>
          <w:rFonts w:ascii="Arial" w:hAnsi="Arial"/>
          <w:sz w:val="22"/>
          <w:szCs w:val="22"/>
        </w:rPr>
        <w:t>’</w:t>
      </w:r>
      <w:r>
        <w:rPr>
          <w:rFonts w:ascii="Arial" w:hAnsi="Arial"/>
          <w:sz w:val="22"/>
          <w:szCs w:val="22"/>
        </w:rPr>
        <w:t xml:space="preserve">approprier le DIH : Feuille de route pour améliorer la mise en œuvre nationale du droit international humanitaire » [et, par là-même, </w:t>
      </w:r>
      <w:r w:rsidR="00C15B5B">
        <w:rPr>
          <w:rFonts w:ascii="Arial" w:hAnsi="Arial"/>
          <w:sz w:val="22"/>
          <w:szCs w:val="22"/>
        </w:rPr>
        <w:t xml:space="preserve">nous </w:t>
      </w:r>
      <w:r>
        <w:rPr>
          <w:rFonts w:ascii="Arial" w:hAnsi="Arial"/>
          <w:sz w:val="22"/>
          <w:szCs w:val="22"/>
        </w:rPr>
        <w:t xml:space="preserve">nous engageons à mettre en œuvre ses dispositions, notamment à renforcer nos efforts de prévention et de lutte contre la violence sexuelle] ; </w:t>
      </w:r>
    </w:p>
    <w:p w14:paraId="211007FB" w14:textId="77777777" w:rsidR="00216D4B" w:rsidRPr="001217C0" w:rsidRDefault="00216D4B" w:rsidP="006A521F">
      <w:pPr>
        <w:pStyle w:val="Paragraphedeliste"/>
        <w:ind w:left="360"/>
        <w:rPr>
          <w:rFonts w:ascii="Arial" w:hAnsi="Arial" w:cs="Arial"/>
          <w:sz w:val="22"/>
          <w:szCs w:val="22"/>
          <w:lang w:val="en-US" w:eastAsia="fr-CH"/>
        </w:rPr>
      </w:pPr>
    </w:p>
    <w:p w14:paraId="7F0EE300" w14:textId="41BE9971" w:rsidR="00216D4B" w:rsidRPr="001217C0" w:rsidRDefault="00216D4B" w:rsidP="00E22BAF">
      <w:pPr>
        <w:numPr>
          <w:ilvl w:val="0"/>
          <w:numId w:val="4"/>
        </w:numPr>
        <w:shd w:val="clear" w:color="auto" w:fill="FFFFFF"/>
        <w:ind w:left="360"/>
        <w:jc w:val="both"/>
        <w:rPr>
          <w:rFonts w:ascii="Arial" w:hAnsi="Arial" w:cs="Arial"/>
          <w:sz w:val="22"/>
          <w:szCs w:val="22"/>
        </w:rPr>
      </w:pPr>
      <w:r>
        <w:rPr>
          <w:rFonts w:ascii="Arial" w:hAnsi="Arial"/>
          <w:sz w:val="22"/>
          <w:szCs w:val="22"/>
        </w:rPr>
        <w:t>Nous gardons à l</w:t>
      </w:r>
      <w:r w:rsidR="00474C4A">
        <w:rPr>
          <w:rFonts w:ascii="Arial" w:hAnsi="Arial"/>
          <w:sz w:val="22"/>
          <w:szCs w:val="22"/>
        </w:rPr>
        <w:t>’</w:t>
      </w:r>
      <w:r>
        <w:rPr>
          <w:rFonts w:ascii="Arial" w:hAnsi="Arial"/>
          <w:sz w:val="22"/>
          <w:szCs w:val="22"/>
        </w:rPr>
        <w:t>esprit l</w:t>
      </w:r>
      <w:r w:rsidR="00474C4A">
        <w:rPr>
          <w:rFonts w:ascii="Arial" w:hAnsi="Arial"/>
          <w:sz w:val="22"/>
          <w:szCs w:val="22"/>
        </w:rPr>
        <w:t>’</w:t>
      </w:r>
      <w:r>
        <w:rPr>
          <w:rFonts w:ascii="Arial" w:hAnsi="Arial"/>
          <w:sz w:val="22"/>
          <w:szCs w:val="22"/>
        </w:rPr>
        <w:t>étude menée par la Fédération internationale sous l</w:t>
      </w:r>
      <w:r w:rsidR="00474C4A">
        <w:rPr>
          <w:rFonts w:ascii="Arial" w:hAnsi="Arial"/>
          <w:sz w:val="22"/>
          <w:szCs w:val="22"/>
        </w:rPr>
        <w:t>’</w:t>
      </w:r>
      <w:r>
        <w:rPr>
          <w:rFonts w:ascii="Arial" w:hAnsi="Arial"/>
          <w:sz w:val="22"/>
          <w:szCs w:val="22"/>
        </w:rPr>
        <w:t xml:space="preserve">intitulé </w:t>
      </w:r>
      <w:r w:rsidRPr="00296702">
        <w:rPr>
          <w:rFonts w:ascii="Arial" w:hAnsi="Arial"/>
          <w:i/>
          <w:iCs/>
          <w:sz w:val="22"/>
          <w:szCs w:val="22"/>
        </w:rPr>
        <w:t>Effective law and policy on gender equality and protection from sexual and gender-based violence in disasters</w:t>
      </w:r>
      <w:r w:rsidRPr="00296702">
        <w:rPr>
          <w:rFonts w:ascii="Arial" w:hAnsi="Arial"/>
          <w:sz w:val="22"/>
          <w:szCs w:val="22"/>
        </w:rPr>
        <w:t xml:space="preserve">, qui </w:t>
      </w:r>
      <w:r w:rsidR="00296702">
        <w:rPr>
          <w:rFonts w:ascii="Arial" w:hAnsi="Arial"/>
          <w:sz w:val="22"/>
          <w:szCs w:val="22"/>
        </w:rPr>
        <w:t>explique</w:t>
      </w:r>
      <w:r w:rsidRPr="00296702">
        <w:rPr>
          <w:rFonts w:ascii="Arial" w:hAnsi="Arial"/>
          <w:sz w:val="22"/>
          <w:szCs w:val="22"/>
        </w:rPr>
        <w:t xml:space="preserve"> que la violence sexuelle et sexiste tend à augmenter</w:t>
      </w:r>
      <w:r>
        <w:rPr>
          <w:rFonts w:ascii="Arial" w:hAnsi="Arial"/>
          <w:sz w:val="22"/>
          <w:szCs w:val="22"/>
        </w:rPr>
        <w:t xml:space="preserve"> dans les situations </w:t>
      </w:r>
      <w:r w:rsidR="00A20B82">
        <w:rPr>
          <w:rFonts w:ascii="Arial" w:hAnsi="Arial"/>
          <w:sz w:val="22"/>
          <w:szCs w:val="22"/>
        </w:rPr>
        <w:t>d’urgence</w:t>
      </w:r>
      <w:r w:rsidR="00015E97">
        <w:rPr>
          <w:rFonts w:ascii="Arial" w:hAnsi="Arial"/>
          <w:sz w:val="22"/>
          <w:szCs w:val="22"/>
        </w:rPr>
        <w:t xml:space="preserve"> et de catastrophe</w:t>
      </w:r>
      <w:r>
        <w:rPr>
          <w:rFonts w:ascii="Arial" w:hAnsi="Arial"/>
          <w:sz w:val="22"/>
          <w:szCs w:val="22"/>
        </w:rPr>
        <w:t xml:space="preserve"> </w:t>
      </w:r>
      <w:r w:rsidR="0023202D">
        <w:rPr>
          <w:rFonts w:ascii="Arial" w:hAnsi="Arial"/>
          <w:sz w:val="22"/>
          <w:szCs w:val="22"/>
        </w:rPr>
        <w:t>en raison</w:t>
      </w:r>
      <w:r>
        <w:rPr>
          <w:rFonts w:ascii="Arial" w:hAnsi="Arial"/>
          <w:sz w:val="22"/>
          <w:szCs w:val="22"/>
        </w:rPr>
        <w:t xml:space="preserve"> de l</w:t>
      </w:r>
      <w:r w:rsidR="00474C4A">
        <w:rPr>
          <w:rFonts w:ascii="Arial" w:hAnsi="Arial"/>
          <w:sz w:val="22"/>
          <w:szCs w:val="22"/>
        </w:rPr>
        <w:t>’</w:t>
      </w:r>
      <w:r>
        <w:rPr>
          <w:rFonts w:ascii="Arial" w:hAnsi="Arial"/>
          <w:sz w:val="22"/>
          <w:szCs w:val="22"/>
        </w:rPr>
        <w:t xml:space="preserve">affaiblissement des structures de sécurité et de </w:t>
      </w:r>
      <w:r w:rsidR="006271AF">
        <w:rPr>
          <w:rFonts w:ascii="Arial" w:hAnsi="Arial"/>
          <w:sz w:val="22"/>
          <w:szCs w:val="22"/>
        </w:rPr>
        <w:t>l’intensification</w:t>
      </w:r>
      <w:r>
        <w:rPr>
          <w:rFonts w:ascii="Arial" w:hAnsi="Arial"/>
          <w:sz w:val="22"/>
          <w:szCs w:val="22"/>
        </w:rPr>
        <w:t xml:space="preserve"> des vulnérabilités ; </w:t>
      </w:r>
    </w:p>
    <w:p w14:paraId="79276764" w14:textId="77777777" w:rsidR="00D217A8" w:rsidRPr="001217C0" w:rsidRDefault="00D217A8" w:rsidP="006A521F">
      <w:pPr>
        <w:pStyle w:val="Indent1"/>
        <w:tabs>
          <w:tab w:val="clear" w:pos="396"/>
          <w:tab w:val="clear" w:pos="741"/>
          <w:tab w:val="clear" w:pos="1134"/>
          <w:tab w:val="clear" w:pos="1701"/>
          <w:tab w:val="left" w:pos="360"/>
        </w:tabs>
        <w:ind w:left="0" w:firstLine="0"/>
        <w:rPr>
          <w:rFonts w:ascii="Arial" w:hAnsi="Arial" w:cs="Arial"/>
          <w:sz w:val="22"/>
          <w:szCs w:val="22"/>
          <w:lang w:val="en-US"/>
        </w:rPr>
      </w:pPr>
    </w:p>
    <w:p w14:paraId="77B652D9" w14:textId="44450E58" w:rsidR="002B0196" w:rsidRPr="001217C0" w:rsidRDefault="00924A58" w:rsidP="00E22BAF">
      <w:pPr>
        <w:numPr>
          <w:ilvl w:val="0"/>
          <w:numId w:val="4"/>
        </w:numPr>
        <w:ind w:left="360"/>
        <w:jc w:val="both"/>
        <w:rPr>
          <w:rFonts w:ascii="Arial" w:hAnsi="Arial" w:cs="Arial"/>
          <w:sz w:val="22"/>
          <w:szCs w:val="22"/>
        </w:rPr>
      </w:pPr>
      <w:r>
        <w:rPr>
          <w:rFonts w:ascii="Arial" w:hAnsi="Arial"/>
          <w:sz w:val="22"/>
          <w:szCs w:val="22"/>
        </w:rPr>
        <w:t>Nous, [le gouvernement/la Société nationale/les gouvernements/les Société nationales] de [pays/région], nous engageons [conjointement] à prendre les mesures suivantes d</w:t>
      </w:r>
      <w:r w:rsidR="00474C4A">
        <w:rPr>
          <w:rFonts w:ascii="Arial" w:hAnsi="Arial"/>
          <w:sz w:val="22"/>
          <w:szCs w:val="22"/>
        </w:rPr>
        <w:t>’</w:t>
      </w:r>
      <w:r>
        <w:rPr>
          <w:rFonts w:ascii="Arial" w:hAnsi="Arial"/>
          <w:sz w:val="22"/>
          <w:szCs w:val="22"/>
        </w:rPr>
        <w:t>ici à</w:t>
      </w:r>
      <w:r w:rsidR="00FD3B45">
        <w:rPr>
          <w:rFonts w:ascii="Arial" w:hAnsi="Arial"/>
          <w:sz w:val="22"/>
          <w:szCs w:val="22"/>
        </w:rPr>
        <w:t xml:space="preserve"> </w:t>
      </w:r>
      <w:r>
        <w:rPr>
          <w:rFonts w:ascii="Arial" w:hAnsi="Arial"/>
          <w:sz w:val="22"/>
          <w:szCs w:val="22"/>
        </w:rPr>
        <w:t xml:space="preserve">2023 : </w:t>
      </w:r>
    </w:p>
    <w:p w14:paraId="289541D9" w14:textId="77777777" w:rsidR="00AF7A8D" w:rsidRPr="001217C0" w:rsidRDefault="00AF7A8D" w:rsidP="00435652">
      <w:pPr>
        <w:pStyle w:val="Indent1"/>
        <w:tabs>
          <w:tab w:val="clear" w:pos="396"/>
          <w:tab w:val="left" w:pos="0"/>
          <w:tab w:val="left" w:pos="1418"/>
        </w:tabs>
        <w:ind w:left="0" w:firstLine="0"/>
        <w:rPr>
          <w:rFonts w:ascii="Arial" w:hAnsi="Arial" w:cs="Arial"/>
          <w:b/>
          <w:bCs/>
          <w:i/>
          <w:sz w:val="22"/>
          <w:szCs w:val="22"/>
          <w:lang w:val="en-US"/>
        </w:rPr>
      </w:pPr>
    </w:p>
    <w:p w14:paraId="010BF4C8" w14:textId="5D898211" w:rsidR="00781851" w:rsidRPr="001217C0" w:rsidRDefault="00781851" w:rsidP="00E22BAF">
      <w:pPr>
        <w:pStyle w:val="Indent1"/>
        <w:numPr>
          <w:ilvl w:val="0"/>
          <w:numId w:val="1"/>
        </w:numPr>
        <w:tabs>
          <w:tab w:val="clear" w:pos="396"/>
          <w:tab w:val="clear" w:pos="741"/>
          <w:tab w:val="clear" w:pos="1134"/>
          <w:tab w:val="clear" w:pos="1701"/>
          <w:tab w:val="clear" w:pos="2268"/>
          <w:tab w:val="clear" w:pos="2835"/>
          <w:tab w:val="left" w:pos="0"/>
          <w:tab w:val="left" w:pos="426"/>
        </w:tabs>
        <w:ind w:left="567" w:hanging="567"/>
        <w:rPr>
          <w:rFonts w:ascii="Arial" w:hAnsi="Arial" w:cs="Arial"/>
          <w:bCs/>
          <w:i/>
          <w:sz w:val="22"/>
          <w:szCs w:val="22"/>
        </w:rPr>
      </w:pPr>
      <w:r>
        <w:rPr>
          <w:rFonts w:ascii="Arial" w:hAnsi="Arial"/>
          <w:bCs/>
          <w:i/>
          <w:sz w:val="22"/>
          <w:szCs w:val="22"/>
        </w:rPr>
        <w:t>Plan d</w:t>
      </w:r>
      <w:r w:rsidR="00474C4A">
        <w:rPr>
          <w:rFonts w:ascii="Arial" w:hAnsi="Arial"/>
          <w:bCs/>
          <w:i/>
          <w:sz w:val="22"/>
          <w:szCs w:val="22"/>
        </w:rPr>
        <w:t>’</w:t>
      </w:r>
      <w:r>
        <w:rPr>
          <w:rFonts w:ascii="Arial" w:hAnsi="Arial"/>
          <w:bCs/>
          <w:i/>
          <w:sz w:val="22"/>
          <w:szCs w:val="22"/>
        </w:rPr>
        <w:t>action</w:t>
      </w:r>
    </w:p>
    <w:p w14:paraId="42BA530E" w14:textId="77777777" w:rsidR="00D12758" w:rsidRPr="001217C0" w:rsidRDefault="00D12758" w:rsidP="00D12758">
      <w:pPr>
        <w:pStyle w:val="Indent1"/>
        <w:tabs>
          <w:tab w:val="clear" w:pos="396"/>
          <w:tab w:val="clear" w:pos="741"/>
          <w:tab w:val="clear" w:pos="1134"/>
          <w:tab w:val="clear" w:pos="1701"/>
          <w:tab w:val="clear" w:pos="2268"/>
          <w:tab w:val="clear" w:pos="2835"/>
          <w:tab w:val="left" w:pos="0"/>
          <w:tab w:val="left" w:pos="426"/>
        </w:tabs>
        <w:rPr>
          <w:rFonts w:ascii="Arial" w:hAnsi="Arial" w:cs="Arial"/>
          <w:bCs/>
          <w:sz w:val="22"/>
          <w:szCs w:val="22"/>
          <w:lang w:val="en-US"/>
        </w:rPr>
      </w:pPr>
    </w:p>
    <w:p w14:paraId="011114FC" w14:textId="61EC46E8" w:rsidR="00D12758" w:rsidRPr="001217C0" w:rsidRDefault="00D12758" w:rsidP="00D12758">
      <w:pPr>
        <w:shd w:val="clear" w:color="auto" w:fill="FFFFFF"/>
        <w:jc w:val="both"/>
        <w:rPr>
          <w:rFonts w:ascii="Arial" w:hAnsi="Arial" w:cs="Arial"/>
          <w:i/>
          <w:sz w:val="22"/>
          <w:szCs w:val="22"/>
        </w:rPr>
      </w:pPr>
      <w:r>
        <w:rPr>
          <w:rFonts w:ascii="Arial" w:hAnsi="Arial"/>
          <w:i/>
          <w:sz w:val="22"/>
          <w:szCs w:val="22"/>
        </w:rPr>
        <w:t>Les États et les Sociétés nationales peuvent sélectionner un ou plusieurs engagements de la liste ci-dessous en cochant la case correspondante [</w:t>
      </w:r>
      <w:r>
        <w:rPr>
          <w:rFonts w:ascii="Segoe UI Symbol" w:hAnsi="Segoe UI Symbol"/>
          <w:i/>
          <w:sz w:val="22"/>
          <w:szCs w:val="22"/>
          <w:shd w:val="clear" w:color="auto" w:fill="DEEAF6"/>
        </w:rPr>
        <w:t>✓</w:t>
      </w:r>
      <w:r>
        <w:rPr>
          <w:i/>
          <w:sz w:val="22"/>
          <w:szCs w:val="22"/>
        </w:rPr>
        <w:t>]</w:t>
      </w:r>
      <w:r>
        <w:rPr>
          <w:rFonts w:ascii="Arial" w:hAnsi="Arial"/>
          <w:i/>
          <w:sz w:val="22"/>
          <w:szCs w:val="22"/>
        </w:rPr>
        <w:t> :</w:t>
      </w:r>
    </w:p>
    <w:p w14:paraId="075EBEC6" w14:textId="77777777" w:rsidR="00D12758" w:rsidRPr="001217C0" w:rsidRDefault="00D12758" w:rsidP="00D12758">
      <w:pPr>
        <w:pStyle w:val="Indent1"/>
        <w:tabs>
          <w:tab w:val="clear" w:pos="396"/>
          <w:tab w:val="clear" w:pos="741"/>
          <w:tab w:val="clear" w:pos="1134"/>
          <w:tab w:val="clear" w:pos="1701"/>
          <w:tab w:val="clear" w:pos="2268"/>
          <w:tab w:val="clear" w:pos="2835"/>
          <w:tab w:val="left" w:pos="0"/>
          <w:tab w:val="left" w:pos="426"/>
        </w:tabs>
        <w:rPr>
          <w:rFonts w:ascii="Arial" w:hAnsi="Arial" w:cs="Arial"/>
          <w:bCs/>
          <w:sz w:val="22"/>
          <w:szCs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gridCol w:w="384"/>
      </w:tblGrid>
      <w:tr w:rsidR="00116967" w:rsidRPr="00944D26" w14:paraId="11B6790B" w14:textId="77777777" w:rsidTr="00352B7D">
        <w:tc>
          <w:tcPr>
            <w:tcW w:w="8683" w:type="dxa"/>
            <w:tcBorders>
              <w:top w:val="nil"/>
              <w:left w:val="nil"/>
              <w:bottom w:val="nil"/>
              <w:right w:val="nil"/>
            </w:tcBorders>
            <w:shd w:val="clear" w:color="auto" w:fill="auto"/>
          </w:tcPr>
          <w:p w14:paraId="58C96063" w14:textId="07A52122" w:rsidR="00116967" w:rsidRPr="00B4656C" w:rsidRDefault="00116967" w:rsidP="00C54F80">
            <w:pPr>
              <w:numPr>
                <w:ilvl w:val="0"/>
                <w:numId w:val="2"/>
              </w:numPr>
              <w:jc w:val="both"/>
              <w:rPr>
                <w:rFonts w:ascii="Arial" w:hAnsi="Arial" w:cs="Arial"/>
                <w:sz w:val="22"/>
                <w:szCs w:val="22"/>
              </w:rPr>
            </w:pPr>
            <w:r w:rsidRPr="00B4656C">
              <w:rPr>
                <w:rFonts w:ascii="Arial" w:hAnsi="Arial"/>
                <w:b/>
                <w:bCs/>
                <w:sz w:val="22"/>
                <w:szCs w:val="22"/>
              </w:rPr>
              <w:t xml:space="preserve">Examiner </w:t>
            </w:r>
            <w:r w:rsidR="00C54F80" w:rsidRPr="00B4656C">
              <w:rPr>
                <w:rFonts w:ascii="Arial" w:hAnsi="Arial"/>
                <w:b/>
                <w:bCs/>
                <w:sz w:val="22"/>
                <w:szCs w:val="22"/>
              </w:rPr>
              <w:t>le</w:t>
            </w:r>
            <w:r w:rsidRPr="00B4656C">
              <w:rPr>
                <w:rFonts w:ascii="Arial" w:hAnsi="Arial"/>
                <w:b/>
                <w:bCs/>
                <w:sz w:val="22"/>
                <w:szCs w:val="22"/>
              </w:rPr>
              <w:t xml:space="preserve"> cadre juridique national</w:t>
            </w:r>
            <w:r w:rsidRPr="00B4656C">
              <w:rPr>
                <w:rFonts w:ascii="Arial" w:hAnsi="Arial"/>
                <w:sz w:val="22"/>
                <w:szCs w:val="22"/>
              </w:rPr>
              <w:t xml:space="preserve"> afin de vérifier s</w:t>
            </w:r>
            <w:r w:rsidR="00474C4A" w:rsidRPr="00B4656C">
              <w:rPr>
                <w:rFonts w:ascii="Arial" w:hAnsi="Arial"/>
                <w:sz w:val="22"/>
                <w:szCs w:val="22"/>
              </w:rPr>
              <w:t>’</w:t>
            </w:r>
            <w:r w:rsidRPr="00B4656C">
              <w:rPr>
                <w:rFonts w:ascii="Arial" w:hAnsi="Arial"/>
                <w:sz w:val="22"/>
                <w:szCs w:val="22"/>
              </w:rPr>
              <w:t>il met pleinement en œuvre les obligations internationales applicables en matière de violence sexuelle et sexiste, s</w:t>
            </w:r>
            <w:r w:rsidR="00474C4A" w:rsidRPr="00B4656C">
              <w:rPr>
                <w:rFonts w:ascii="Arial" w:hAnsi="Arial"/>
                <w:sz w:val="22"/>
                <w:szCs w:val="22"/>
              </w:rPr>
              <w:t>’</w:t>
            </w:r>
            <w:r w:rsidRPr="00B4656C">
              <w:rPr>
                <w:rFonts w:ascii="Arial" w:hAnsi="Arial"/>
                <w:sz w:val="22"/>
                <w:szCs w:val="22"/>
              </w:rPr>
              <w:t>il prévoit des enquêtes et des poursuites, et s</w:t>
            </w:r>
            <w:r w:rsidR="00474C4A" w:rsidRPr="00B4656C">
              <w:rPr>
                <w:rFonts w:ascii="Arial" w:hAnsi="Arial"/>
                <w:sz w:val="22"/>
                <w:szCs w:val="22"/>
              </w:rPr>
              <w:t>’</w:t>
            </w:r>
            <w:r w:rsidRPr="00B4656C">
              <w:rPr>
                <w:rFonts w:ascii="Arial" w:hAnsi="Arial"/>
                <w:sz w:val="22"/>
                <w:szCs w:val="22"/>
              </w:rPr>
              <w:t xml:space="preserve">il protège les survivants/victimes et apporte les autres réponses nécessaires à leurs besoins, </w:t>
            </w:r>
            <w:r w:rsidRPr="00B4656C">
              <w:rPr>
                <w:rFonts w:ascii="Arial" w:hAnsi="Arial"/>
                <w:sz w:val="22"/>
                <w:szCs w:val="22"/>
                <w:u w:val="single"/>
              </w:rPr>
              <w:t>et en particulier</w:t>
            </w:r>
            <w:r w:rsidRPr="00B4656C">
              <w:rPr>
                <w:rFonts w:ascii="Arial" w:hAnsi="Arial"/>
                <w:sz w:val="22"/>
                <w:szCs w:val="22"/>
              </w:rPr>
              <w:t> :</w:t>
            </w:r>
          </w:p>
        </w:tc>
        <w:tc>
          <w:tcPr>
            <w:tcW w:w="384" w:type="dxa"/>
            <w:tcBorders>
              <w:top w:val="nil"/>
              <w:left w:val="nil"/>
              <w:bottom w:val="nil"/>
              <w:right w:val="nil"/>
            </w:tcBorders>
            <w:shd w:val="clear" w:color="auto" w:fill="auto"/>
          </w:tcPr>
          <w:p w14:paraId="40838C9F" w14:textId="77777777" w:rsidR="00116967" w:rsidRPr="00944D26" w:rsidRDefault="00116967" w:rsidP="00944D26">
            <w:pPr>
              <w:jc w:val="both"/>
              <w:rPr>
                <w:rFonts w:ascii="Arial" w:hAnsi="Arial" w:cs="Arial"/>
                <w:sz w:val="22"/>
                <w:szCs w:val="22"/>
                <w:lang w:val="en-US"/>
              </w:rPr>
            </w:pPr>
          </w:p>
        </w:tc>
      </w:tr>
      <w:tr w:rsidR="00116967" w:rsidRPr="00944D26" w14:paraId="134AFECD" w14:textId="77777777" w:rsidTr="00352B7D">
        <w:tc>
          <w:tcPr>
            <w:tcW w:w="8683" w:type="dxa"/>
            <w:tcBorders>
              <w:top w:val="nil"/>
              <w:left w:val="nil"/>
              <w:bottom w:val="nil"/>
              <w:right w:val="nil"/>
            </w:tcBorders>
            <w:shd w:val="clear" w:color="auto" w:fill="auto"/>
          </w:tcPr>
          <w:p w14:paraId="204E6733" w14:textId="051210F8" w:rsidR="00116967" w:rsidRPr="00B4656C" w:rsidRDefault="00116967" w:rsidP="00D34AD3">
            <w:pPr>
              <w:numPr>
                <w:ilvl w:val="1"/>
                <w:numId w:val="2"/>
              </w:numPr>
              <w:jc w:val="both"/>
              <w:rPr>
                <w:rFonts w:ascii="Arial" w:hAnsi="Arial" w:cs="Arial"/>
              </w:rPr>
            </w:pPr>
            <w:r w:rsidRPr="00B4656C">
              <w:rPr>
                <w:rFonts w:ascii="Arial" w:hAnsi="Arial"/>
              </w:rPr>
              <w:t xml:space="preserve">Identifier [la disposition/les dispositions] de droit interne qui [érige/érigent] en crimes les actes de violence sexuelle dans les conflits armés, et modifier les lois et règlements existants ou en élaborer de nouveaux, </w:t>
            </w:r>
            <w:r w:rsidR="00086B6B">
              <w:rPr>
                <w:rFonts w:ascii="Arial" w:hAnsi="Arial"/>
              </w:rPr>
              <w:t>selon qu’il convient</w:t>
            </w:r>
            <w:r w:rsidRPr="00B4656C">
              <w:rPr>
                <w:rFonts w:ascii="Arial" w:hAnsi="Arial"/>
              </w:rPr>
              <w:t xml:space="preserve">, </w:t>
            </w:r>
            <w:r w:rsidR="004710AD">
              <w:rPr>
                <w:rFonts w:ascii="Arial" w:hAnsi="Arial"/>
              </w:rPr>
              <w:t xml:space="preserve">afin </w:t>
            </w:r>
            <w:r w:rsidR="00D34AD3">
              <w:rPr>
                <w:rFonts w:ascii="Arial" w:hAnsi="Arial"/>
              </w:rPr>
              <w:t>de</w:t>
            </w:r>
            <w:r w:rsidRPr="00B4656C">
              <w:rPr>
                <w:rFonts w:ascii="Arial" w:hAnsi="Arial"/>
              </w:rPr>
              <w:t> :</w:t>
            </w:r>
          </w:p>
        </w:tc>
        <w:tc>
          <w:tcPr>
            <w:tcW w:w="384" w:type="dxa"/>
            <w:tcBorders>
              <w:top w:val="nil"/>
              <w:left w:val="nil"/>
              <w:bottom w:val="single" w:sz="4" w:space="0" w:color="auto"/>
              <w:right w:val="nil"/>
            </w:tcBorders>
            <w:shd w:val="clear" w:color="auto" w:fill="FFFFFF"/>
          </w:tcPr>
          <w:p w14:paraId="7AD9DEF3" w14:textId="77777777" w:rsidR="00116967" w:rsidRPr="00944D26" w:rsidRDefault="00116967" w:rsidP="00944D26">
            <w:pPr>
              <w:jc w:val="both"/>
              <w:rPr>
                <w:rFonts w:ascii="Arial" w:hAnsi="Arial" w:cs="Arial"/>
                <w:sz w:val="22"/>
                <w:szCs w:val="22"/>
                <w:lang w:val="en-US"/>
              </w:rPr>
            </w:pPr>
          </w:p>
        </w:tc>
      </w:tr>
      <w:tr w:rsidR="00116967" w:rsidRPr="00944D26" w14:paraId="18D2200B" w14:textId="77777777" w:rsidTr="00352B7D">
        <w:tc>
          <w:tcPr>
            <w:tcW w:w="8683" w:type="dxa"/>
            <w:tcBorders>
              <w:top w:val="nil"/>
              <w:left w:val="nil"/>
              <w:bottom w:val="nil"/>
              <w:right w:val="single" w:sz="4" w:space="0" w:color="auto"/>
            </w:tcBorders>
            <w:shd w:val="clear" w:color="auto" w:fill="auto"/>
          </w:tcPr>
          <w:p w14:paraId="3F1DAEF4" w14:textId="0C228565" w:rsidR="00116967" w:rsidRPr="00B4656C" w:rsidRDefault="00D34AD3" w:rsidP="00D8105B">
            <w:pPr>
              <w:numPr>
                <w:ilvl w:val="2"/>
                <w:numId w:val="2"/>
              </w:numPr>
              <w:jc w:val="both"/>
              <w:rPr>
                <w:rFonts w:ascii="Arial" w:hAnsi="Arial" w:cs="Arial"/>
              </w:rPr>
            </w:pPr>
            <w:r>
              <w:rPr>
                <w:rFonts w:ascii="Arial" w:hAnsi="Arial"/>
              </w:rPr>
              <w:t xml:space="preserve">faire en sorte que </w:t>
            </w:r>
            <w:r w:rsidR="00116967" w:rsidRPr="00B4656C">
              <w:rPr>
                <w:rFonts w:ascii="Arial" w:hAnsi="Arial"/>
              </w:rPr>
              <w:t>la criminalisation de la violence sexuelle dans les situations de c</w:t>
            </w:r>
            <w:r w:rsidR="00086B6B">
              <w:rPr>
                <w:rFonts w:ascii="Arial" w:hAnsi="Arial"/>
              </w:rPr>
              <w:t>onflit armé ne se limite pas au viol</w:t>
            </w:r>
            <w:r w:rsidR="00116967" w:rsidRPr="00B4656C">
              <w:rPr>
                <w:rFonts w:ascii="Arial" w:hAnsi="Arial"/>
              </w:rPr>
              <w:t xml:space="preserve"> mais qu</w:t>
            </w:r>
            <w:r w:rsidR="00474C4A" w:rsidRPr="00B4656C">
              <w:rPr>
                <w:rFonts w:ascii="Arial" w:hAnsi="Arial"/>
              </w:rPr>
              <w:t>’</w:t>
            </w:r>
            <w:r w:rsidR="00116967" w:rsidRPr="00B4656C">
              <w:rPr>
                <w:rFonts w:ascii="Arial" w:hAnsi="Arial"/>
              </w:rPr>
              <w:t xml:space="preserve">elle </w:t>
            </w:r>
            <w:r w:rsidR="00D8105B">
              <w:rPr>
                <w:rFonts w:ascii="Arial" w:hAnsi="Arial"/>
              </w:rPr>
              <w:t>intègre</w:t>
            </w:r>
            <w:r w:rsidR="00116967" w:rsidRPr="00B4656C">
              <w:rPr>
                <w:rFonts w:ascii="Arial" w:hAnsi="Arial"/>
              </w:rPr>
              <w:t xml:space="preserve"> d</w:t>
            </w:r>
            <w:r w:rsidR="00474C4A" w:rsidRPr="00B4656C">
              <w:rPr>
                <w:rFonts w:ascii="Arial" w:hAnsi="Arial"/>
              </w:rPr>
              <w:t>’</w:t>
            </w:r>
            <w:r w:rsidR="00116967" w:rsidRPr="00B4656C">
              <w:rPr>
                <w:rFonts w:ascii="Arial" w:hAnsi="Arial"/>
              </w:rPr>
              <w:t>autres actes, notamment (mais pas exclusivement) l</w:t>
            </w:r>
            <w:r w:rsidR="00474C4A" w:rsidRPr="00B4656C">
              <w:rPr>
                <w:rFonts w:ascii="Arial" w:hAnsi="Arial"/>
              </w:rPr>
              <w:t>’</w:t>
            </w:r>
            <w:r w:rsidR="00116967" w:rsidRPr="00B4656C">
              <w:rPr>
                <w:rFonts w:ascii="Arial" w:hAnsi="Arial"/>
              </w:rPr>
              <w:t>esclavage sexuel, la prostitution forcée, la grossesse forcée et la stérilisation forcée ;</w:t>
            </w:r>
          </w:p>
        </w:tc>
        <w:tc>
          <w:tcPr>
            <w:tcW w:w="384" w:type="dxa"/>
            <w:tcBorders>
              <w:top w:val="single" w:sz="4" w:space="0" w:color="auto"/>
              <w:left w:val="single" w:sz="4" w:space="0" w:color="auto"/>
              <w:right w:val="single" w:sz="4" w:space="0" w:color="auto"/>
            </w:tcBorders>
            <w:shd w:val="clear" w:color="auto" w:fill="DEEAF6"/>
          </w:tcPr>
          <w:p w14:paraId="70CD8E1F" w14:textId="77777777" w:rsidR="00116967" w:rsidRPr="00944D26" w:rsidRDefault="00116967" w:rsidP="00944D26">
            <w:pPr>
              <w:jc w:val="both"/>
              <w:rPr>
                <w:rFonts w:ascii="Arial" w:hAnsi="Arial" w:cs="Arial"/>
                <w:sz w:val="22"/>
                <w:szCs w:val="22"/>
                <w:lang w:val="en-US"/>
              </w:rPr>
            </w:pPr>
          </w:p>
        </w:tc>
      </w:tr>
      <w:tr w:rsidR="00116967" w:rsidRPr="00944D26" w14:paraId="5EFE1C9A" w14:textId="77777777" w:rsidTr="00352B7D">
        <w:tc>
          <w:tcPr>
            <w:tcW w:w="8683" w:type="dxa"/>
            <w:tcBorders>
              <w:top w:val="nil"/>
              <w:left w:val="nil"/>
              <w:bottom w:val="nil"/>
              <w:right w:val="single" w:sz="4" w:space="0" w:color="auto"/>
            </w:tcBorders>
            <w:shd w:val="clear" w:color="auto" w:fill="auto"/>
          </w:tcPr>
          <w:p w14:paraId="5024054F" w14:textId="0808144C" w:rsidR="00116967" w:rsidRPr="00B4656C" w:rsidRDefault="00D34AD3" w:rsidP="00D34AD3">
            <w:pPr>
              <w:numPr>
                <w:ilvl w:val="2"/>
                <w:numId w:val="2"/>
              </w:numPr>
              <w:jc w:val="both"/>
              <w:rPr>
                <w:rFonts w:ascii="Arial" w:hAnsi="Arial" w:cs="Arial"/>
              </w:rPr>
            </w:pPr>
            <w:r w:rsidRPr="00D34AD3">
              <w:rPr>
                <w:rFonts w:ascii="Arial" w:hAnsi="Arial"/>
              </w:rPr>
              <w:lastRenderedPageBreak/>
              <w:t>faire en sorte que</w:t>
            </w:r>
            <w:r>
              <w:rPr>
                <w:rFonts w:ascii="Arial" w:hAnsi="Arial"/>
              </w:rPr>
              <w:t xml:space="preserve"> </w:t>
            </w:r>
            <w:r w:rsidR="00116967" w:rsidRPr="00B4656C">
              <w:rPr>
                <w:rFonts w:ascii="Arial" w:hAnsi="Arial"/>
              </w:rPr>
              <w:t>l</w:t>
            </w:r>
            <w:r w:rsidR="00866342">
              <w:rPr>
                <w:rFonts w:ascii="Arial" w:hAnsi="Arial"/>
              </w:rPr>
              <w:t>a</w:t>
            </w:r>
            <w:r w:rsidR="00116967" w:rsidRPr="00B4656C">
              <w:rPr>
                <w:rFonts w:ascii="Arial" w:hAnsi="Arial"/>
              </w:rPr>
              <w:t xml:space="preserve"> définition juridique des crimes sexuels </w:t>
            </w:r>
            <w:r w:rsidR="00D8105B">
              <w:rPr>
                <w:rFonts w:ascii="Arial" w:hAnsi="Arial"/>
              </w:rPr>
              <w:t>soit rédigée dans</w:t>
            </w:r>
            <w:r w:rsidR="00116967" w:rsidRPr="00B4656C">
              <w:rPr>
                <w:rFonts w:ascii="Arial" w:hAnsi="Arial"/>
              </w:rPr>
              <w:t xml:space="preserve"> un langage non sexiste, notamment</w:t>
            </w:r>
            <w:r w:rsidR="00D8105B">
              <w:rPr>
                <w:rFonts w:ascii="Arial" w:hAnsi="Arial"/>
              </w:rPr>
              <w:t xml:space="preserve"> par un réexamen des</w:t>
            </w:r>
            <w:r w:rsidR="00D23E6E">
              <w:rPr>
                <w:rFonts w:ascii="Arial" w:hAnsi="Arial"/>
              </w:rPr>
              <w:t xml:space="preserve"> éléments matériel</w:t>
            </w:r>
            <w:r w:rsidR="00116967" w:rsidRPr="00B4656C">
              <w:rPr>
                <w:rFonts w:ascii="Arial" w:hAnsi="Arial"/>
              </w:rPr>
              <w:t>s du délit ;</w:t>
            </w:r>
          </w:p>
        </w:tc>
        <w:tc>
          <w:tcPr>
            <w:tcW w:w="384" w:type="dxa"/>
            <w:tcBorders>
              <w:left w:val="single" w:sz="4" w:space="0" w:color="auto"/>
              <w:right w:val="single" w:sz="4" w:space="0" w:color="auto"/>
            </w:tcBorders>
            <w:shd w:val="clear" w:color="auto" w:fill="DEEAF6"/>
          </w:tcPr>
          <w:p w14:paraId="10EC9433" w14:textId="77777777" w:rsidR="00116967" w:rsidRPr="00944D26" w:rsidRDefault="00116967" w:rsidP="00944D26">
            <w:pPr>
              <w:jc w:val="both"/>
              <w:rPr>
                <w:rFonts w:ascii="Arial" w:hAnsi="Arial" w:cs="Arial"/>
                <w:sz w:val="22"/>
                <w:szCs w:val="22"/>
                <w:lang w:val="en-US"/>
              </w:rPr>
            </w:pPr>
          </w:p>
        </w:tc>
      </w:tr>
      <w:tr w:rsidR="00116967" w:rsidRPr="00944D26" w14:paraId="723A113D" w14:textId="77777777" w:rsidTr="00352B7D">
        <w:tc>
          <w:tcPr>
            <w:tcW w:w="8683" w:type="dxa"/>
            <w:tcBorders>
              <w:top w:val="nil"/>
              <w:left w:val="nil"/>
              <w:bottom w:val="nil"/>
              <w:right w:val="single" w:sz="4" w:space="0" w:color="auto"/>
            </w:tcBorders>
            <w:shd w:val="clear" w:color="auto" w:fill="auto"/>
          </w:tcPr>
          <w:p w14:paraId="559C2300" w14:textId="02BA83E5" w:rsidR="00116967" w:rsidRPr="00B4656C" w:rsidRDefault="00D34AD3" w:rsidP="00D34AD3">
            <w:pPr>
              <w:numPr>
                <w:ilvl w:val="2"/>
                <w:numId w:val="2"/>
              </w:numPr>
              <w:jc w:val="both"/>
              <w:rPr>
                <w:rFonts w:ascii="Arial" w:hAnsi="Arial" w:cs="Arial"/>
              </w:rPr>
            </w:pPr>
            <w:r w:rsidRPr="00D34AD3">
              <w:rPr>
                <w:rFonts w:ascii="Arial" w:hAnsi="Arial"/>
              </w:rPr>
              <w:t>faire en sorte que</w:t>
            </w:r>
            <w:r>
              <w:rPr>
                <w:rFonts w:ascii="Arial" w:hAnsi="Arial"/>
              </w:rPr>
              <w:t xml:space="preserve"> </w:t>
            </w:r>
            <w:r w:rsidR="00116967" w:rsidRPr="00B4656C">
              <w:rPr>
                <w:rFonts w:ascii="Arial" w:hAnsi="Arial"/>
              </w:rPr>
              <w:t>l</w:t>
            </w:r>
            <w:r w:rsidR="00866342">
              <w:rPr>
                <w:rFonts w:ascii="Arial" w:hAnsi="Arial"/>
              </w:rPr>
              <w:t>a</w:t>
            </w:r>
            <w:r w:rsidR="00116967" w:rsidRPr="00B4656C">
              <w:rPr>
                <w:rFonts w:ascii="Arial" w:hAnsi="Arial"/>
              </w:rPr>
              <w:t xml:space="preserve"> définition juridique des crimes sexuels permett</w:t>
            </w:r>
            <w:r w:rsidR="00866342">
              <w:rPr>
                <w:rFonts w:ascii="Arial" w:hAnsi="Arial"/>
              </w:rPr>
              <w:t>e</w:t>
            </w:r>
            <w:r w:rsidR="00116967" w:rsidRPr="00B4656C">
              <w:rPr>
                <w:rFonts w:ascii="Arial" w:hAnsi="Arial"/>
              </w:rPr>
              <w:t xml:space="preserve"> de poursuivre les acteurs tant civils que militaires.</w:t>
            </w:r>
          </w:p>
        </w:tc>
        <w:tc>
          <w:tcPr>
            <w:tcW w:w="384" w:type="dxa"/>
            <w:tcBorders>
              <w:left w:val="single" w:sz="4" w:space="0" w:color="auto"/>
              <w:right w:val="single" w:sz="4" w:space="0" w:color="auto"/>
            </w:tcBorders>
            <w:shd w:val="clear" w:color="auto" w:fill="DEEAF6"/>
          </w:tcPr>
          <w:p w14:paraId="61F795C8" w14:textId="77777777" w:rsidR="00116967" w:rsidRPr="00944D26" w:rsidRDefault="00116967" w:rsidP="00944D26">
            <w:pPr>
              <w:jc w:val="both"/>
              <w:rPr>
                <w:rFonts w:ascii="Arial" w:hAnsi="Arial" w:cs="Arial"/>
                <w:sz w:val="22"/>
                <w:szCs w:val="22"/>
                <w:lang w:val="en-US"/>
              </w:rPr>
            </w:pPr>
          </w:p>
        </w:tc>
      </w:tr>
      <w:tr w:rsidR="00116967" w:rsidRPr="00944D26" w14:paraId="1A927574" w14:textId="77777777" w:rsidTr="00352B7D">
        <w:tc>
          <w:tcPr>
            <w:tcW w:w="8683" w:type="dxa"/>
            <w:tcBorders>
              <w:top w:val="nil"/>
              <w:left w:val="nil"/>
              <w:bottom w:val="nil"/>
              <w:right w:val="single" w:sz="4" w:space="0" w:color="auto"/>
            </w:tcBorders>
            <w:shd w:val="clear" w:color="auto" w:fill="auto"/>
          </w:tcPr>
          <w:p w14:paraId="38B44D78" w14:textId="181E82A2" w:rsidR="00116967" w:rsidRPr="00B4656C" w:rsidRDefault="00116967" w:rsidP="00E22BAF">
            <w:pPr>
              <w:numPr>
                <w:ilvl w:val="1"/>
                <w:numId w:val="2"/>
              </w:numPr>
              <w:jc w:val="both"/>
              <w:rPr>
                <w:rFonts w:ascii="Arial" w:hAnsi="Arial" w:cs="Arial"/>
              </w:rPr>
            </w:pPr>
            <w:r w:rsidRPr="00B4656C">
              <w:rPr>
                <w:rFonts w:ascii="Arial" w:hAnsi="Arial"/>
              </w:rPr>
              <w:t xml:space="preserve">Mandater les </w:t>
            </w:r>
            <w:r w:rsidRPr="00B4656C">
              <w:rPr>
                <w:rFonts w:ascii="Arial" w:hAnsi="Arial"/>
                <w:b/>
              </w:rPr>
              <w:t>commissions nationales de DIH</w:t>
            </w:r>
            <w:r w:rsidRPr="00B4656C">
              <w:rPr>
                <w:rFonts w:ascii="Arial" w:hAnsi="Arial"/>
              </w:rPr>
              <w:t xml:space="preserve"> et/ou des entités similaires pour conseiller et aider les autorités nationales à mettre en œuvre l</w:t>
            </w:r>
            <w:r w:rsidR="00474C4A" w:rsidRPr="00B4656C">
              <w:rPr>
                <w:rFonts w:ascii="Arial" w:hAnsi="Arial"/>
              </w:rPr>
              <w:t>’</w:t>
            </w:r>
            <w:r w:rsidRPr="00B4656C">
              <w:rPr>
                <w:rFonts w:ascii="Arial" w:hAnsi="Arial"/>
              </w:rPr>
              <w:t>engagement susmentionné.</w:t>
            </w:r>
          </w:p>
        </w:tc>
        <w:tc>
          <w:tcPr>
            <w:tcW w:w="384" w:type="dxa"/>
            <w:tcBorders>
              <w:left w:val="single" w:sz="4" w:space="0" w:color="auto"/>
              <w:right w:val="single" w:sz="4" w:space="0" w:color="auto"/>
            </w:tcBorders>
            <w:shd w:val="clear" w:color="auto" w:fill="DEEAF6"/>
          </w:tcPr>
          <w:p w14:paraId="780CB541" w14:textId="77777777" w:rsidR="00116967" w:rsidRPr="00944D26" w:rsidRDefault="00116967" w:rsidP="00944D26">
            <w:pPr>
              <w:jc w:val="both"/>
              <w:rPr>
                <w:rFonts w:ascii="Arial" w:hAnsi="Arial" w:cs="Arial"/>
                <w:sz w:val="22"/>
                <w:szCs w:val="22"/>
                <w:lang w:val="en-US"/>
              </w:rPr>
            </w:pPr>
          </w:p>
        </w:tc>
      </w:tr>
      <w:tr w:rsidR="00116967" w:rsidRPr="00944D26" w14:paraId="60A9A844" w14:textId="77777777" w:rsidTr="00352B7D">
        <w:tc>
          <w:tcPr>
            <w:tcW w:w="8683" w:type="dxa"/>
            <w:tcBorders>
              <w:top w:val="nil"/>
              <w:left w:val="nil"/>
              <w:bottom w:val="nil"/>
              <w:right w:val="single" w:sz="4" w:space="0" w:color="auto"/>
            </w:tcBorders>
            <w:shd w:val="clear" w:color="auto" w:fill="auto"/>
          </w:tcPr>
          <w:p w14:paraId="7FB099E9" w14:textId="2214C9BF" w:rsidR="00116967" w:rsidRPr="00B4656C" w:rsidRDefault="00116967" w:rsidP="009B6655">
            <w:pPr>
              <w:numPr>
                <w:ilvl w:val="1"/>
                <w:numId w:val="2"/>
              </w:numPr>
              <w:jc w:val="both"/>
              <w:rPr>
                <w:rFonts w:ascii="Arial" w:hAnsi="Arial" w:cs="Arial"/>
              </w:rPr>
            </w:pPr>
            <w:r w:rsidRPr="00B4656C">
              <w:rPr>
                <w:rFonts w:ascii="Arial" w:hAnsi="Arial"/>
              </w:rPr>
              <w:t>Assurer la formation de</w:t>
            </w:r>
            <w:r w:rsidR="0029058F">
              <w:rPr>
                <w:rFonts w:ascii="Arial" w:hAnsi="Arial"/>
              </w:rPr>
              <w:t>s</w:t>
            </w:r>
            <w:r w:rsidRPr="00B4656C">
              <w:rPr>
                <w:rFonts w:ascii="Arial" w:hAnsi="Arial"/>
              </w:rPr>
              <w:t xml:space="preserve"> législateurs, de</w:t>
            </w:r>
            <w:r w:rsidR="0029058F">
              <w:rPr>
                <w:rFonts w:ascii="Arial" w:hAnsi="Arial"/>
              </w:rPr>
              <w:t>s</w:t>
            </w:r>
            <w:r w:rsidRPr="00B4656C">
              <w:rPr>
                <w:rFonts w:ascii="Arial" w:hAnsi="Arial"/>
              </w:rPr>
              <w:t xml:space="preserve"> procureurs, de</w:t>
            </w:r>
            <w:r w:rsidR="0029058F">
              <w:rPr>
                <w:rFonts w:ascii="Arial" w:hAnsi="Arial"/>
              </w:rPr>
              <w:t>s</w:t>
            </w:r>
            <w:r w:rsidRPr="00B4656C">
              <w:rPr>
                <w:rFonts w:ascii="Arial" w:hAnsi="Arial"/>
              </w:rPr>
              <w:t xml:space="preserve"> juges et de</w:t>
            </w:r>
            <w:r w:rsidR="0029058F">
              <w:rPr>
                <w:rFonts w:ascii="Arial" w:hAnsi="Arial"/>
              </w:rPr>
              <w:t>s</w:t>
            </w:r>
            <w:r w:rsidRPr="00B4656C">
              <w:rPr>
                <w:rFonts w:ascii="Arial" w:hAnsi="Arial"/>
              </w:rPr>
              <w:t xml:space="preserve"> professionnels compétents </w:t>
            </w:r>
            <w:r w:rsidR="009B6655">
              <w:rPr>
                <w:rFonts w:ascii="Arial" w:hAnsi="Arial"/>
              </w:rPr>
              <w:t>en vue de la mise en œuvre de</w:t>
            </w:r>
            <w:r w:rsidRPr="00B4656C">
              <w:rPr>
                <w:rFonts w:ascii="Arial" w:hAnsi="Arial"/>
              </w:rPr>
              <w:t xml:space="preserve"> l</w:t>
            </w:r>
            <w:r w:rsidR="00474C4A" w:rsidRPr="00B4656C">
              <w:rPr>
                <w:rFonts w:ascii="Arial" w:hAnsi="Arial"/>
              </w:rPr>
              <w:t>’</w:t>
            </w:r>
            <w:r w:rsidRPr="00B4656C">
              <w:rPr>
                <w:rFonts w:ascii="Arial" w:hAnsi="Arial"/>
              </w:rPr>
              <w:t>engagement susmentionné.</w:t>
            </w:r>
          </w:p>
        </w:tc>
        <w:tc>
          <w:tcPr>
            <w:tcW w:w="384" w:type="dxa"/>
            <w:tcBorders>
              <w:left w:val="single" w:sz="4" w:space="0" w:color="auto"/>
              <w:right w:val="single" w:sz="4" w:space="0" w:color="auto"/>
            </w:tcBorders>
            <w:shd w:val="clear" w:color="auto" w:fill="DEEAF6"/>
          </w:tcPr>
          <w:p w14:paraId="350D7762" w14:textId="77777777" w:rsidR="00116967" w:rsidRPr="00944D26" w:rsidRDefault="00116967" w:rsidP="00944D26">
            <w:pPr>
              <w:jc w:val="both"/>
              <w:rPr>
                <w:rFonts w:ascii="Arial" w:hAnsi="Arial" w:cs="Arial"/>
                <w:sz w:val="22"/>
                <w:szCs w:val="22"/>
                <w:lang w:val="en-US"/>
              </w:rPr>
            </w:pPr>
          </w:p>
        </w:tc>
      </w:tr>
      <w:tr w:rsidR="00116967" w:rsidRPr="00944D26" w14:paraId="38038D91" w14:textId="77777777" w:rsidTr="00352B7D">
        <w:tc>
          <w:tcPr>
            <w:tcW w:w="8683" w:type="dxa"/>
            <w:tcBorders>
              <w:top w:val="nil"/>
              <w:left w:val="nil"/>
              <w:bottom w:val="nil"/>
              <w:right w:val="single" w:sz="4" w:space="0" w:color="auto"/>
            </w:tcBorders>
            <w:shd w:val="clear" w:color="auto" w:fill="auto"/>
          </w:tcPr>
          <w:p w14:paraId="67A92559" w14:textId="34C1106F" w:rsidR="00116967" w:rsidRPr="00B4656C" w:rsidRDefault="00116967" w:rsidP="00D71F4D">
            <w:pPr>
              <w:numPr>
                <w:ilvl w:val="1"/>
                <w:numId w:val="2"/>
              </w:numPr>
              <w:jc w:val="both"/>
              <w:rPr>
                <w:rFonts w:ascii="Arial" w:hAnsi="Arial" w:cs="Arial"/>
              </w:rPr>
            </w:pPr>
            <w:r w:rsidRPr="00B4656C">
              <w:rPr>
                <w:rFonts w:ascii="Arial" w:hAnsi="Arial"/>
              </w:rPr>
              <w:t xml:space="preserve">Solliciter les </w:t>
            </w:r>
            <w:r w:rsidRPr="00B4656C">
              <w:rPr>
                <w:rFonts w:ascii="Arial" w:hAnsi="Arial"/>
                <w:b/>
                <w:bCs/>
              </w:rPr>
              <w:t>Services consultatifs en droit international humanitaire du CICR</w:t>
            </w:r>
            <w:r w:rsidRPr="00B4656C">
              <w:rPr>
                <w:rFonts w:ascii="Arial" w:hAnsi="Arial"/>
              </w:rPr>
              <w:t xml:space="preserve"> ou d</w:t>
            </w:r>
            <w:r w:rsidR="00474C4A" w:rsidRPr="00B4656C">
              <w:rPr>
                <w:rFonts w:ascii="Arial" w:hAnsi="Arial"/>
              </w:rPr>
              <w:t>’</w:t>
            </w:r>
            <w:r w:rsidRPr="00B4656C">
              <w:rPr>
                <w:rFonts w:ascii="Arial" w:hAnsi="Arial"/>
              </w:rPr>
              <w:t>autres composantes du Mouvement s</w:t>
            </w:r>
            <w:r w:rsidR="00474C4A" w:rsidRPr="00B4656C">
              <w:rPr>
                <w:rFonts w:ascii="Arial" w:hAnsi="Arial"/>
              </w:rPr>
              <w:t>’</w:t>
            </w:r>
            <w:r w:rsidRPr="00B4656C">
              <w:rPr>
                <w:rFonts w:ascii="Arial" w:hAnsi="Arial"/>
              </w:rPr>
              <w:t xml:space="preserve">il y a lieu, pour </w:t>
            </w:r>
            <w:r w:rsidR="00D71F4D">
              <w:rPr>
                <w:rFonts w:ascii="Arial" w:hAnsi="Arial"/>
              </w:rPr>
              <w:t>obtenir</w:t>
            </w:r>
            <w:r w:rsidRPr="00B4656C">
              <w:rPr>
                <w:rFonts w:ascii="Arial" w:hAnsi="Arial"/>
              </w:rPr>
              <w:t xml:space="preserve"> des conseils techniques sur la mise en œuvre de l</w:t>
            </w:r>
            <w:r w:rsidR="00474C4A" w:rsidRPr="00B4656C">
              <w:rPr>
                <w:rFonts w:ascii="Arial" w:hAnsi="Arial"/>
              </w:rPr>
              <w:t>’</w:t>
            </w:r>
            <w:r w:rsidR="00D71F4D">
              <w:rPr>
                <w:rFonts w:ascii="Arial" w:hAnsi="Arial"/>
              </w:rPr>
              <w:t>engagement susmentionné lorsque nécessaire.</w:t>
            </w:r>
            <w:r w:rsidRPr="00B4656C">
              <w:rPr>
                <w:rFonts w:ascii="Arial" w:hAnsi="Arial"/>
              </w:rPr>
              <w:t xml:space="preserve"> </w:t>
            </w:r>
          </w:p>
        </w:tc>
        <w:tc>
          <w:tcPr>
            <w:tcW w:w="384" w:type="dxa"/>
            <w:tcBorders>
              <w:left w:val="single" w:sz="4" w:space="0" w:color="auto"/>
              <w:right w:val="single" w:sz="4" w:space="0" w:color="auto"/>
            </w:tcBorders>
            <w:shd w:val="clear" w:color="auto" w:fill="DEEAF6"/>
          </w:tcPr>
          <w:p w14:paraId="5F0AAFB5" w14:textId="77777777" w:rsidR="00116967" w:rsidRPr="00944D26" w:rsidRDefault="00116967" w:rsidP="00944D26">
            <w:pPr>
              <w:jc w:val="both"/>
              <w:rPr>
                <w:rFonts w:ascii="Arial" w:hAnsi="Arial" w:cs="Arial"/>
                <w:sz w:val="22"/>
                <w:szCs w:val="22"/>
                <w:lang w:val="en-US"/>
              </w:rPr>
            </w:pPr>
          </w:p>
        </w:tc>
      </w:tr>
      <w:tr w:rsidR="003C27E0" w:rsidRPr="00944D26" w14:paraId="603DCD5A" w14:textId="77777777" w:rsidTr="00352B7D">
        <w:trPr>
          <w:trHeight w:val="713"/>
        </w:trPr>
        <w:tc>
          <w:tcPr>
            <w:tcW w:w="8683" w:type="dxa"/>
            <w:vMerge w:val="restart"/>
            <w:tcBorders>
              <w:top w:val="nil"/>
              <w:left w:val="nil"/>
              <w:right w:val="single" w:sz="4" w:space="0" w:color="auto"/>
            </w:tcBorders>
            <w:shd w:val="clear" w:color="auto" w:fill="auto"/>
          </w:tcPr>
          <w:p w14:paraId="5F9F0233" w14:textId="49AF4637" w:rsidR="003C27E0" w:rsidRPr="00B4656C" w:rsidRDefault="003C27E0" w:rsidP="006F0155">
            <w:pPr>
              <w:numPr>
                <w:ilvl w:val="0"/>
                <w:numId w:val="5"/>
              </w:numPr>
              <w:overflowPunct/>
              <w:ind w:left="1058"/>
              <w:jc w:val="both"/>
              <w:textAlignment w:val="auto"/>
              <w:rPr>
                <w:rFonts w:ascii="Arial" w:hAnsi="Arial" w:cs="Arial"/>
              </w:rPr>
            </w:pPr>
            <w:bookmarkStart w:id="0" w:name="_Hlk16588018"/>
            <w:r w:rsidRPr="00B4656C">
              <w:rPr>
                <w:rFonts w:ascii="Arial" w:hAnsi="Arial"/>
                <w:bCs/>
              </w:rPr>
              <w:t>Modifier, si nécessaire, l</w:t>
            </w:r>
            <w:r w:rsidR="0091338C">
              <w:rPr>
                <w:rFonts w:ascii="Arial" w:hAnsi="Arial"/>
                <w:bCs/>
              </w:rPr>
              <w:t>e</w:t>
            </w:r>
            <w:r w:rsidR="00222F10">
              <w:rPr>
                <w:rFonts w:ascii="Arial" w:hAnsi="Arial"/>
                <w:bCs/>
              </w:rPr>
              <w:t>s</w:t>
            </w:r>
            <w:r w:rsidRPr="00B4656C">
              <w:rPr>
                <w:rFonts w:ascii="Arial" w:hAnsi="Arial"/>
                <w:bCs/>
              </w:rPr>
              <w:t xml:space="preserve"> cadre</w:t>
            </w:r>
            <w:r w:rsidR="00222F10">
              <w:rPr>
                <w:rFonts w:ascii="Arial" w:hAnsi="Arial"/>
                <w:bCs/>
              </w:rPr>
              <w:t>s</w:t>
            </w:r>
            <w:r w:rsidRPr="00B4656C">
              <w:rPr>
                <w:rFonts w:ascii="Arial" w:hAnsi="Arial"/>
                <w:bCs/>
              </w:rPr>
              <w:t xml:space="preserve"> </w:t>
            </w:r>
            <w:r w:rsidR="0071397B">
              <w:rPr>
                <w:rFonts w:ascii="Arial" w:hAnsi="Arial"/>
                <w:bCs/>
              </w:rPr>
              <w:t>réglementaires</w:t>
            </w:r>
            <w:r w:rsidRPr="00B4656C">
              <w:rPr>
                <w:rFonts w:ascii="Arial" w:hAnsi="Arial"/>
                <w:bCs/>
              </w:rPr>
              <w:t xml:space="preserve"> nationa</w:t>
            </w:r>
            <w:r w:rsidR="00222F10">
              <w:rPr>
                <w:rFonts w:ascii="Arial" w:hAnsi="Arial"/>
                <w:bCs/>
              </w:rPr>
              <w:t>ux</w:t>
            </w:r>
            <w:r w:rsidR="0091338C">
              <w:rPr>
                <w:rFonts w:ascii="Arial" w:hAnsi="Arial"/>
                <w:bCs/>
              </w:rPr>
              <w:t xml:space="preserve"> </w:t>
            </w:r>
            <w:r w:rsidR="00222F10">
              <w:rPr>
                <w:rFonts w:ascii="Arial" w:hAnsi="Arial"/>
                <w:bCs/>
              </w:rPr>
              <w:t>relatifs à la</w:t>
            </w:r>
            <w:r w:rsidRPr="00B4656C">
              <w:rPr>
                <w:rFonts w:ascii="Arial" w:hAnsi="Arial"/>
                <w:bCs/>
              </w:rPr>
              <w:t xml:space="preserve"> violence sexuelle et sexiste, notamment (mais pas exclusivement) </w:t>
            </w:r>
            <w:r w:rsidR="0071397B">
              <w:rPr>
                <w:rFonts w:ascii="Arial" w:hAnsi="Arial"/>
                <w:bCs/>
              </w:rPr>
              <w:t xml:space="preserve">les cadres traitant </w:t>
            </w:r>
            <w:r w:rsidR="00222F10">
              <w:rPr>
                <w:rFonts w:ascii="Arial" w:hAnsi="Arial"/>
                <w:bCs/>
              </w:rPr>
              <w:t>de</w:t>
            </w:r>
            <w:r w:rsidR="0071397B">
              <w:rPr>
                <w:rFonts w:ascii="Arial" w:hAnsi="Arial"/>
                <w:bCs/>
              </w:rPr>
              <w:t>s</w:t>
            </w:r>
            <w:r w:rsidR="00216AAF">
              <w:rPr>
                <w:rFonts w:ascii="Arial" w:hAnsi="Arial"/>
                <w:bCs/>
              </w:rPr>
              <w:t xml:space="preserve"> </w:t>
            </w:r>
            <w:r w:rsidRPr="00B4656C">
              <w:rPr>
                <w:rFonts w:ascii="Arial" w:hAnsi="Arial"/>
                <w:bCs/>
              </w:rPr>
              <w:t>catastrophe</w:t>
            </w:r>
            <w:r w:rsidR="002C00E5">
              <w:rPr>
                <w:rFonts w:ascii="Arial" w:hAnsi="Arial"/>
                <w:bCs/>
              </w:rPr>
              <w:t>s</w:t>
            </w:r>
            <w:r w:rsidRPr="00B4656C">
              <w:rPr>
                <w:rFonts w:ascii="Arial" w:hAnsi="Arial"/>
                <w:bCs/>
              </w:rPr>
              <w:t xml:space="preserve"> et autres situations d</w:t>
            </w:r>
            <w:r w:rsidR="00474C4A" w:rsidRPr="00B4656C">
              <w:rPr>
                <w:rFonts w:ascii="Arial" w:hAnsi="Arial"/>
                <w:bCs/>
              </w:rPr>
              <w:t>’</w:t>
            </w:r>
            <w:r w:rsidRPr="00B4656C">
              <w:rPr>
                <w:rFonts w:ascii="Arial" w:hAnsi="Arial"/>
                <w:bCs/>
              </w:rPr>
              <w:t>urgence, afin de mettre pleinement en œuvre les obligations internationales applicables.</w:t>
            </w:r>
          </w:p>
          <w:bookmarkEnd w:id="0"/>
          <w:p w14:paraId="7B5AD335" w14:textId="3045E4D0" w:rsidR="003C27E0" w:rsidRPr="00B4656C" w:rsidRDefault="003C27E0" w:rsidP="00183A43">
            <w:pPr>
              <w:numPr>
                <w:ilvl w:val="0"/>
                <w:numId w:val="5"/>
              </w:numPr>
              <w:overflowPunct/>
              <w:ind w:left="1058"/>
              <w:jc w:val="both"/>
              <w:textAlignment w:val="auto"/>
              <w:rPr>
                <w:rFonts w:ascii="Arial" w:hAnsi="Arial" w:cs="Arial"/>
              </w:rPr>
            </w:pPr>
            <w:r w:rsidRPr="00B4656C">
              <w:rPr>
                <w:rFonts w:ascii="Arial" w:hAnsi="Arial"/>
              </w:rPr>
              <w:t>S</w:t>
            </w:r>
            <w:r w:rsidR="00474C4A" w:rsidRPr="00B4656C">
              <w:rPr>
                <w:rFonts w:ascii="Arial" w:hAnsi="Arial"/>
              </w:rPr>
              <w:t>’</w:t>
            </w:r>
            <w:r w:rsidRPr="00B4656C">
              <w:rPr>
                <w:rFonts w:ascii="Arial" w:hAnsi="Arial"/>
              </w:rPr>
              <w:t>assurer que</w:t>
            </w:r>
            <w:r w:rsidR="00382C74">
              <w:rPr>
                <w:rFonts w:ascii="Arial" w:hAnsi="Arial"/>
              </w:rPr>
              <w:t xml:space="preserve"> </w:t>
            </w:r>
            <w:r w:rsidR="00183A43">
              <w:rPr>
                <w:rFonts w:ascii="Arial" w:hAnsi="Arial"/>
              </w:rPr>
              <w:t>les</w:t>
            </w:r>
            <w:r w:rsidRPr="00B4656C">
              <w:rPr>
                <w:rFonts w:ascii="Arial" w:hAnsi="Arial"/>
              </w:rPr>
              <w:t xml:space="preserve"> </w:t>
            </w:r>
            <w:r w:rsidR="00025807">
              <w:rPr>
                <w:rFonts w:ascii="Arial" w:hAnsi="Arial"/>
              </w:rPr>
              <w:t xml:space="preserve">principaux </w:t>
            </w:r>
            <w:r w:rsidRPr="00B4656C">
              <w:rPr>
                <w:rFonts w:ascii="Arial" w:hAnsi="Arial"/>
              </w:rPr>
              <w:t>ministères et organismes publics</w:t>
            </w:r>
            <w:r w:rsidR="00503C6A">
              <w:rPr>
                <w:rFonts w:ascii="Arial" w:hAnsi="Arial"/>
              </w:rPr>
              <w:t xml:space="preserve"> œuvrant dans le domaine de la prévention et de la lutte contre</w:t>
            </w:r>
            <w:r w:rsidRPr="00B4656C">
              <w:rPr>
                <w:rFonts w:ascii="Arial" w:hAnsi="Arial"/>
              </w:rPr>
              <w:t xml:space="preserve"> la violence sexuelle et sexiste</w:t>
            </w:r>
            <w:r w:rsidR="00183A43">
              <w:rPr>
                <w:rFonts w:ascii="Arial" w:hAnsi="Arial"/>
              </w:rPr>
              <w:t xml:space="preserve"> sont tenus, conformément au cadre législatif et/ou politique,</w:t>
            </w:r>
            <w:r w:rsidRPr="00B4656C">
              <w:rPr>
                <w:rFonts w:ascii="Arial" w:hAnsi="Arial"/>
              </w:rPr>
              <w:t xml:space="preserve"> d</w:t>
            </w:r>
            <w:r w:rsidR="00474C4A" w:rsidRPr="00B4656C">
              <w:rPr>
                <w:rFonts w:ascii="Arial" w:hAnsi="Arial"/>
              </w:rPr>
              <w:t>’</w:t>
            </w:r>
            <w:r w:rsidRPr="00B4656C">
              <w:rPr>
                <w:rFonts w:ascii="Arial" w:hAnsi="Arial"/>
              </w:rPr>
              <w:t xml:space="preserve">élaborer </w:t>
            </w:r>
            <w:r w:rsidR="00D03D4F">
              <w:rPr>
                <w:rFonts w:ascii="Arial" w:hAnsi="Arial"/>
              </w:rPr>
              <w:t>des</w:t>
            </w:r>
            <w:r w:rsidRPr="00B4656C">
              <w:rPr>
                <w:rFonts w:ascii="Arial" w:hAnsi="Arial"/>
              </w:rPr>
              <w:t xml:space="preserve"> plans d</w:t>
            </w:r>
            <w:r w:rsidR="00474C4A" w:rsidRPr="00B4656C">
              <w:rPr>
                <w:rFonts w:ascii="Arial" w:hAnsi="Arial"/>
              </w:rPr>
              <w:t>’</w:t>
            </w:r>
            <w:r w:rsidRPr="00B4656C">
              <w:rPr>
                <w:rFonts w:ascii="Arial" w:hAnsi="Arial"/>
              </w:rPr>
              <w:t xml:space="preserve">urgence </w:t>
            </w:r>
            <w:r w:rsidR="00D03D4F">
              <w:rPr>
                <w:rFonts w:ascii="Arial" w:hAnsi="Arial"/>
              </w:rPr>
              <w:t xml:space="preserve">visant à </w:t>
            </w:r>
            <w:r w:rsidRPr="00B4656C">
              <w:rPr>
                <w:rFonts w:ascii="Arial" w:hAnsi="Arial"/>
              </w:rPr>
              <w:t>assurer la continuité des services de prévention et de lutte contre la violence sexuelle et sexiste dans les situations de catastrophe,</w:t>
            </w:r>
            <w:r w:rsidR="00D03D4F">
              <w:rPr>
                <w:rFonts w:ascii="Arial" w:hAnsi="Arial"/>
              </w:rPr>
              <w:t xml:space="preserve"> ou le cas échéant, de modifier les plans exis</w:t>
            </w:r>
            <w:r w:rsidR="00516C6D">
              <w:rPr>
                <w:rFonts w:ascii="Arial" w:hAnsi="Arial"/>
              </w:rPr>
              <w:t>t</w:t>
            </w:r>
            <w:r w:rsidR="00D03D4F">
              <w:rPr>
                <w:rFonts w:ascii="Arial" w:hAnsi="Arial"/>
              </w:rPr>
              <w:t>ants,</w:t>
            </w:r>
            <w:r w:rsidRPr="00B4656C">
              <w:rPr>
                <w:rFonts w:ascii="Arial" w:hAnsi="Arial"/>
              </w:rPr>
              <w:t xml:space="preserve"> et qu</w:t>
            </w:r>
            <w:r w:rsidR="00474C4A" w:rsidRPr="00B4656C">
              <w:rPr>
                <w:rFonts w:ascii="Arial" w:hAnsi="Arial"/>
              </w:rPr>
              <w:t>’</w:t>
            </w:r>
            <w:r w:rsidRPr="00B4656C">
              <w:rPr>
                <w:rFonts w:ascii="Arial" w:hAnsi="Arial"/>
              </w:rPr>
              <w:t>ils disposent des ressources nécessaires pour le faire.</w:t>
            </w:r>
          </w:p>
        </w:tc>
        <w:tc>
          <w:tcPr>
            <w:tcW w:w="384" w:type="dxa"/>
            <w:tcBorders>
              <w:left w:val="single" w:sz="4" w:space="0" w:color="auto"/>
              <w:right w:val="single" w:sz="4" w:space="0" w:color="auto"/>
            </w:tcBorders>
            <w:shd w:val="clear" w:color="auto" w:fill="DEEAF6"/>
          </w:tcPr>
          <w:p w14:paraId="666588CB" w14:textId="77777777" w:rsidR="003C27E0" w:rsidRPr="00944D26" w:rsidRDefault="003C27E0" w:rsidP="00944D26">
            <w:pPr>
              <w:overflowPunct/>
              <w:textAlignment w:val="auto"/>
              <w:rPr>
                <w:rFonts w:ascii="Arial" w:hAnsi="Arial" w:cs="Arial"/>
                <w:sz w:val="22"/>
                <w:szCs w:val="22"/>
                <w:lang w:eastAsia="nb-NO"/>
              </w:rPr>
            </w:pPr>
          </w:p>
        </w:tc>
      </w:tr>
      <w:tr w:rsidR="003C27E0" w:rsidRPr="00944D26" w14:paraId="1248AAB5" w14:textId="77777777" w:rsidTr="00352B7D">
        <w:trPr>
          <w:trHeight w:val="1035"/>
        </w:trPr>
        <w:tc>
          <w:tcPr>
            <w:tcW w:w="8683" w:type="dxa"/>
            <w:vMerge/>
            <w:tcBorders>
              <w:left w:val="nil"/>
              <w:bottom w:val="nil"/>
              <w:right w:val="single" w:sz="4" w:space="0" w:color="auto"/>
            </w:tcBorders>
            <w:shd w:val="clear" w:color="auto" w:fill="auto"/>
          </w:tcPr>
          <w:p w14:paraId="4FE892D8" w14:textId="77777777" w:rsidR="003C27E0" w:rsidRPr="00B4656C" w:rsidRDefault="003C27E0" w:rsidP="006F0155">
            <w:pPr>
              <w:numPr>
                <w:ilvl w:val="0"/>
                <w:numId w:val="5"/>
              </w:numPr>
              <w:overflowPunct/>
              <w:ind w:left="1058"/>
              <w:jc w:val="both"/>
              <w:textAlignment w:val="auto"/>
              <w:rPr>
                <w:rFonts w:ascii="Arial" w:hAnsi="Arial" w:cs="Arial"/>
                <w:bCs/>
                <w:lang w:val="en-US"/>
              </w:rPr>
            </w:pPr>
          </w:p>
        </w:tc>
        <w:tc>
          <w:tcPr>
            <w:tcW w:w="384" w:type="dxa"/>
            <w:tcBorders>
              <w:left w:val="single" w:sz="4" w:space="0" w:color="auto"/>
              <w:right w:val="single" w:sz="4" w:space="0" w:color="auto"/>
            </w:tcBorders>
            <w:shd w:val="clear" w:color="auto" w:fill="DEEAF6"/>
          </w:tcPr>
          <w:p w14:paraId="28565005" w14:textId="77777777" w:rsidR="003C27E0" w:rsidRPr="00944D26" w:rsidRDefault="003C27E0" w:rsidP="00944D26">
            <w:pPr>
              <w:overflowPunct/>
              <w:textAlignment w:val="auto"/>
              <w:rPr>
                <w:rFonts w:ascii="Arial" w:hAnsi="Arial" w:cs="Arial"/>
                <w:sz w:val="22"/>
                <w:szCs w:val="22"/>
                <w:lang w:eastAsia="nb-NO"/>
              </w:rPr>
            </w:pPr>
          </w:p>
        </w:tc>
      </w:tr>
      <w:tr w:rsidR="00116967" w:rsidRPr="00944D26" w14:paraId="7805A580" w14:textId="77777777" w:rsidTr="00352B7D">
        <w:tc>
          <w:tcPr>
            <w:tcW w:w="8683" w:type="dxa"/>
            <w:tcBorders>
              <w:top w:val="nil"/>
              <w:left w:val="nil"/>
              <w:bottom w:val="nil"/>
              <w:right w:val="single" w:sz="4" w:space="0" w:color="auto"/>
            </w:tcBorders>
            <w:shd w:val="clear" w:color="auto" w:fill="auto"/>
          </w:tcPr>
          <w:p w14:paraId="3DFBEE55" w14:textId="57A9D4B8" w:rsidR="00116967" w:rsidRPr="00B4656C" w:rsidRDefault="00116967" w:rsidP="00EF6774">
            <w:pPr>
              <w:numPr>
                <w:ilvl w:val="0"/>
                <w:numId w:val="5"/>
              </w:numPr>
              <w:overflowPunct/>
              <w:ind w:left="1058"/>
              <w:jc w:val="both"/>
              <w:textAlignment w:val="auto"/>
              <w:rPr>
                <w:rFonts w:ascii="Arial" w:hAnsi="Arial" w:cs="Arial"/>
              </w:rPr>
            </w:pPr>
            <w:r w:rsidRPr="00B4656C">
              <w:rPr>
                <w:rFonts w:ascii="Arial" w:hAnsi="Arial"/>
              </w:rPr>
              <w:t xml:space="preserve">Accorder une attention particulière aux questions de genre et de diversité dans les lois et les politiques relatives aux catastrophes, et modifier toute pratique ou politique publique </w:t>
            </w:r>
            <w:r w:rsidR="00942972">
              <w:rPr>
                <w:rFonts w:ascii="Arial" w:hAnsi="Arial"/>
              </w:rPr>
              <w:t>conduisant</w:t>
            </w:r>
            <w:r w:rsidRPr="00B4656C">
              <w:rPr>
                <w:rFonts w:ascii="Arial" w:hAnsi="Arial"/>
              </w:rPr>
              <w:t xml:space="preserve"> à </w:t>
            </w:r>
            <w:r w:rsidR="00EF6774">
              <w:rPr>
                <w:rFonts w:ascii="Arial" w:hAnsi="Arial"/>
              </w:rPr>
              <w:t>des</w:t>
            </w:r>
            <w:r w:rsidRPr="00B4656C">
              <w:rPr>
                <w:rFonts w:ascii="Arial" w:hAnsi="Arial"/>
              </w:rPr>
              <w:t xml:space="preserve"> discrimination</w:t>
            </w:r>
            <w:r w:rsidR="00EF6774">
              <w:rPr>
                <w:rFonts w:ascii="Arial" w:hAnsi="Arial"/>
              </w:rPr>
              <w:t>s</w:t>
            </w:r>
            <w:r w:rsidRPr="00B4656C">
              <w:rPr>
                <w:rFonts w:ascii="Arial" w:hAnsi="Arial"/>
              </w:rPr>
              <w:t xml:space="preserve"> ou à l</w:t>
            </w:r>
            <w:r w:rsidR="00474C4A" w:rsidRPr="00B4656C">
              <w:rPr>
                <w:rFonts w:ascii="Arial" w:hAnsi="Arial"/>
              </w:rPr>
              <w:t>’</w:t>
            </w:r>
            <w:r w:rsidRPr="00B4656C">
              <w:rPr>
                <w:rFonts w:ascii="Arial" w:hAnsi="Arial"/>
              </w:rPr>
              <w:t>exclusion.</w:t>
            </w:r>
          </w:p>
        </w:tc>
        <w:tc>
          <w:tcPr>
            <w:tcW w:w="384" w:type="dxa"/>
            <w:tcBorders>
              <w:left w:val="single" w:sz="4" w:space="0" w:color="auto"/>
              <w:right w:val="single" w:sz="4" w:space="0" w:color="auto"/>
            </w:tcBorders>
            <w:shd w:val="clear" w:color="auto" w:fill="DEEAF6"/>
          </w:tcPr>
          <w:p w14:paraId="04F2F74B" w14:textId="77777777" w:rsidR="00116967" w:rsidRPr="00944D26" w:rsidRDefault="00116967" w:rsidP="00944D26">
            <w:pPr>
              <w:overflowPunct/>
              <w:jc w:val="both"/>
              <w:textAlignment w:val="auto"/>
              <w:rPr>
                <w:rFonts w:ascii="Arial" w:hAnsi="Arial" w:cs="Arial"/>
                <w:sz w:val="22"/>
                <w:szCs w:val="22"/>
                <w:lang w:eastAsia="nb-NO"/>
              </w:rPr>
            </w:pPr>
          </w:p>
        </w:tc>
      </w:tr>
      <w:tr w:rsidR="00116967" w:rsidRPr="00944D26" w14:paraId="4031FD41" w14:textId="77777777" w:rsidTr="00352B7D">
        <w:tc>
          <w:tcPr>
            <w:tcW w:w="8683" w:type="dxa"/>
            <w:tcBorders>
              <w:top w:val="nil"/>
              <w:left w:val="nil"/>
              <w:bottom w:val="nil"/>
              <w:right w:val="single" w:sz="4" w:space="0" w:color="auto"/>
            </w:tcBorders>
            <w:shd w:val="clear" w:color="auto" w:fill="auto"/>
          </w:tcPr>
          <w:p w14:paraId="0BAB149E" w14:textId="195CBD66" w:rsidR="00116967" w:rsidRPr="00B4656C" w:rsidRDefault="00116967" w:rsidP="009E630D">
            <w:pPr>
              <w:numPr>
                <w:ilvl w:val="0"/>
                <w:numId w:val="5"/>
              </w:numPr>
              <w:overflowPunct/>
              <w:ind w:left="1058"/>
              <w:jc w:val="both"/>
              <w:textAlignment w:val="auto"/>
              <w:rPr>
                <w:rFonts w:ascii="Arial" w:hAnsi="Arial" w:cs="Arial"/>
              </w:rPr>
            </w:pPr>
            <w:r w:rsidRPr="00B4656C">
              <w:rPr>
                <w:rFonts w:ascii="Arial" w:hAnsi="Arial"/>
              </w:rPr>
              <w:t xml:space="preserve">Solliciter les </w:t>
            </w:r>
            <w:r w:rsidRPr="00B4656C">
              <w:rPr>
                <w:rFonts w:ascii="Arial" w:hAnsi="Arial"/>
                <w:b/>
              </w:rPr>
              <w:t>Sociétés nationales de la Croix-Rouge et du Croissant-Rouge</w:t>
            </w:r>
            <w:r w:rsidRPr="00B4656C">
              <w:rPr>
                <w:rFonts w:ascii="Arial" w:hAnsi="Arial"/>
              </w:rPr>
              <w:t xml:space="preserve"> et la Fédération internationale, en particulier les délégués/coordonnateurs de la Fédération internationale chargés du </w:t>
            </w:r>
            <w:r w:rsidRPr="00B4656C">
              <w:rPr>
                <w:rFonts w:ascii="Arial" w:hAnsi="Arial"/>
                <w:b/>
              </w:rPr>
              <w:t>programme de droit relatif aux catastrophe</w:t>
            </w:r>
            <w:r w:rsidR="00EF6774">
              <w:rPr>
                <w:rFonts w:ascii="Arial" w:hAnsi="Arial"/>
                <w:b/>
              </w:rPr>
              <w:t>s</w:t>
            </w:r>
            <w:r w:rsidRPr="00B4656C">
              <w:rPr>
                <w:rFonts w:ascii="Arial" w:hAnsi="Arial"/>
                <w:b/>
              </w:rPr>
              <w:t xml:space="preserve"> </w:t>
            </w:r>
            <w:r w:rsidRPr="00B4656C">
              <w:rPr>
                <w:rFonts w:ascii="Arial" w:hAnsi="Arial"/>
                <w:bCs/>
              </w:rPr>
              <w:t>et</w:t>
            </w:r>
            <w:r w:rsidRPr="00B4656C">
              <w:rPr>
                <w:rFonts w:ascii="Arial" w:hAnsi="Arial"/>
              </w:rPr>
              <w:t xml:space="preserve"> </w:t>
            </w:r>
            <w:r w:rsidRPr="00B4656C">
              <w:rPr>
                <w:rFonts w:ascii="Arial" w:hAnsi="Arial"/>
                <w:b/>
              </w:rPr>
              <w:t>des questions de protection, de genre et/ou d</w:t>
            </w:r>
            <w:r w:rsidR="00474C4A" w:rsidRPr="00B4656C">
              <w:rPr>
                <w:rFonts w:ascii="Arial" w:hAnsi="Arial"/>
                <w:b/>
              </w:rPr>
              <w:t>’</w:t>
            </w:r>
            <w:r w:rsidRPr="00B4656C">
              <w:rPr>
                <w:rFonts w:ascii="Arial" w:hAnsi="Arial"/>
                <w:b/>
              </w:rPr>
              <w:t>intégration</w:t>
            </w:r>
            <w:r w:rsidRPr="00B4656C">
              <w:rPr>
                <w:rFonts w:ascii="Arial" w:hAnsi="Arial"/>
              </w:rPr>
              <w:t>, et d</w:t>
            </w:r>
            <w:r w:rsidR="00474C4A" w:rsidRPr="00B4656C">
              <w:rPr>
                <w:rFonts w:ascii="Arial" w:hAnsi="Arial"/>
              </w:rPr>
              <w:t>’</w:t>
            </w:r>
            <w:r w:rsidRPr="00B4656C">
              <w:rPr>
                <w:rFonts w:ascii="Arial" w:hAnsi="Arial"/>
              </w:rPr>
              <w:t>autres acteurs concernés de l</w:t>
            </w:r>
            <w:r w:rsidR="00474C4A" w:rsidRPr="00B4656C">
              <w:rPr>
                <w:rFonts w:ascii="Arial" w:hAnsi="Arial"/>
              </w:rPr>
              <w:t>’</w:t>
            </w:r>
            <w:r w:rsidRPr="00B4656C">
              <w:rPr>
                <w:rFonts w:ascii="Arial" w:hAnsi="Arial"/>
              </w:rPr>
              <w:t xml:space="preserve">aide humanitaire et du développement, </w:t>
            </w:r>
            <w:r w:rsidR="009E630D">
              <w:rPr>
                <w:rFonts w:ascii="Arial" w:hAnsi="Arial"/>
              </w:rPr>
              <w:t>selon</w:t>
            </w:r>
            <w:r w:rsidRPr="00B4656C">
              <w:rPr>
                <w:rFonts w:ascii="Arial" w:hAnsi="Arial"/>
              </w:rPr>
              <w:t xml:space="preserve"> que de besoin, pour obtenir des conseils techniques, une assistance, une aide au renforcement des capacités, et des informations sur les pratiques. </w:t>
            </w:r>
          </w:p>
        </w:tc>
        <w:tc>
          <w:tcPr>
            <w:tcW w:w="384" w:type="dxa"/>
            <w:tcBorders>
              <w:left w:val="single" w:sz="4" w:space="0" w:color="auto"/>
              <w:bottom w:val="single" w:sz="4" w:space="0" w:color="auto"/>
              <w:right w:val="single" w:sz="4" w:space="0" w:color="auto"/>
            </w:tcBorders>
            <w:shd w:val="clear" w:color="auto" w:fill="DEEAF6"/>
          </w:tcPr>
          <w:p w14:paraId="3D42A147" w14:textId="77777777" w:rsidR="00116967" w:rsidRPr="00944D26" w:rsidRDefault="00116967" w:rsidP="00944D26">
            <w:pPr>
              <w:overflowPunct/>
              <w:textAlignment w:val="auto"/>
              <w:rPr>
                <w:rFonts w:ascii="Arial" w:hAnsi="Arial" w:cs="Arial"/>
                <w:sz w:val="22"/>
                <w:szCs w:val="22"/>
                <w:lang w:eastAsia="nb-NO"/>
              </w:rPr>
            </w:pPr>
          </w:p>
        </w:tc>
      </w:tr>
    </w:tbl>
    <w:p w14:paraId="58CD85FF" w14:textId="77777777" w:rsidR="005F30C2" w:rsidRPr="001217C0" w:rsidRDefault="005F30C2" w:rsidP="00CD741B">
      <w:pPr>
        <w:ind w:left="1440"/>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8"/>
        <w:gridCol w:w="384"/>
      </w:tblGrid>
      <w:tr w:rsidR="00DA2D01" w:rsidRPr="00944D26" w14:paraId="62368CDE" w14:textId="77777777" w:rsidTr="00352B7D">
        <w:tc>
          <w:tcPr>
            <w:tcW w:w="8688" w:type="dxa"/>
            <w:tcBorders>
              <w:top w:val="nil"/>
              <w:left w:val="nil"/>
              <w:bottom w:val="nil"/>
              <w:right w:val="nil"/>
            </w:tcBorders>
            <w:shd w:val="clear" w:color="auto" w:fill="auto"/>
          </w:tcPr>
          <w:p w14:paraId="5F9A6A3E" w14:textId="69482016" w:rsidR="00DA2D01" w:rsidRPr="00944D26" w:rsidRDefault="00DA2D01" w:rsidP="00E7404D">
            <w:pPr>
              <w:numPr>
                <w:ilvl w:val="0"/>
                <w:numId w:val="2"/>
              </w:numPr>
              <w:jc w:val="both"/>
              <w:rPr>
                <w:rFonts w:ascii="Arial" w:hAnsi="Arial" w:cs="Arial"/>
                <w:bCs/>
                <w:sz w:val="22"/>
                <w:szCs w:val="22"/>
              </w:rPr>
            </w:pPr>
            <w:r>
              <w:rPr>
                <w:rFonts w:ascii="Arial" w:hAnsi="Arial"/>
                <w:bCs/>
                <w:sz w:val="22"/>
                <w:szCs w:val="22"/>
              </w:rPr>
              <w:t xml:space="preserve">Diffuser le droit international humanitaire, notamment ses dispositions existantes qui interdisent la violence sexuelle dans les conflits armés, de la façon la plus large possible </w:t>
            </w:r>
            <w:r w:rsidR="00E7404D">
              <w:rPr>
                <w:rFonts w:ascii="Arial" w:hAnsi="Arial"/>
                <w:bCs/>
                <w:sz w:val="22"/>
                <w:szCs w:val="22"/>
              </w:rPr>
              <w:t>dans le pay</w:t>
            </w:r>
            <w:r w:rsidR="00E7404D" w:rsidRPr="00E7404D">
              <w:rPr>
                <w:rFonts w:ascii="Arial" w:hAnsi="Arial"/>
                <w:bCs/>
                <w:sz w:val="22"/>
                <w:szCs w:val="22"/>
              </w:rPr>
              <w:t>s</w:t>
            </w:r>
            <w:r w:rsidRPr="00E7404D">
              <w:rPr>
                <w:rFonts w:ascii="Arial" w:hAnsi="Arial"/>
                <w:bCs/>
                <w:sz w:val="22"/>
                <w:szCs w:val="22"/>
              </w:rPr>
              <w:t>,</w:t>
            </w:r>
            <w:r w:rsidR="00474C4A">
              <w:rPr>
                <w:rFonts w:ascii="Arial" w:hAnsi="Arial"/>
                <w:bCs/>
                <w:sz w:val="22"/>
                <w:szCs w:val="22"/>
              </w:rPr>
              <w:t xml:space="preserve"> </w:t>
            </w:r>
            <w:r>
              <w:rPr>
                <w:rFonts w:ascii="Arial" w:hAnsi="Arial"/>
                <w:bCs/>
                <w:sz w:val="22"/>
                <w:szCs w:val="22"/>
              </w:rPr>
              <w:t>et</w:t>
            </w:r>
            <w:r w:rsidR="00474C4A">
              <w:rPr>
                <w:rFonts w:ascii="Arial" w:hAnsi="Arial"/>
                <w:bCs/>
                <w:sz w:val="22"/>
                <w:szCs w:val="22"/>
              </w:rPr>
              <w:t xml:space="preserve"> </w:t>
            </w:r>
            <w:r>
              <w:rPr>
                <w:rFonts w:ascii="Arial" w:hAnsi="Arial"/>
                <w:bCs/>
                <w:sz w:val="22"/>
                <w:szCs w:val="22"/>
              </w:rPr>
              <w:t>en</w:t>
            </w:r>
            <w:r w:rsidR="00474C4A">
              <w:rPr>
                <w:rFonts w:ascii="Arial" w:hAnsi="Arial"/>
                <w:bCs/>
                <w:sz w:val="22"/>
                <w:szCs w:val="22"/>
              </w:rPr>
              <w:t xml:space="preserve"> </w:t>
            </w:r>
            <w:r>
              <w:rPr>
                <w:rFonts w:ascii="Arial" w:hAnsi="Arial"/>
                <w:bCs/>
                <w:sz w:val="22"/>
                <w:szCs w:val="22"/>
              </w:rPr>
              <w:t>particulier incorporer ce droit dans les programmes d</w:t>
            </w:r>
            <w:r w:rsidR="00474C4A">
              <w:rPr>
                <w:rFonts w:ascii="Arial" w:hAnsi="Arial"/>
                <w:bCs/>
                <w:sz w:val="22"/>
                <w:szCs w:val="22"/>
              </w:rPr>
              <w:t>’</w:t>
            </w:r>
            <w:r>
              <w:rPr>
                <w:rFonts w:ascii="Arial" w:hAnsi="Arial"/>
                <w:bCs/>
                <w:sz w:val="22"/>
                <w:szCs w:val="22"/>
              </w:rPr>
              <w:t>instruction militaire et, si possible, d</w:t>
            </w:r>
            <w:r w:rsidR="00474C4A">
              <w:rPr>
                <w:rFonts w:ascii="Arial" w:hAnsi="Arial"/>
                <w:bCs/>
                <w:sz w:val="22"/>
                <w:szCs w:val="22"/>
              </w:rPr>
              <w:t>’</w:t>
            </w:r>
            <w:r>
              <w:rPr>
                <w:rFonts w:ascii="Arial" w:hAnsi="Arial"/>
                <w:bCs/>
                <w:sz w:val="22"/>
                <w:szCs w:val="22"/>
              </w:rPr>
              <w:t>instruction civique, et tout</w:t>
            </w:r>
            <w:r w:rsidR="00474C4A">
              <w:rPr>
                <w:rFonts w:ascii="Arial" w:hAnsi="Arial"/>
                <w:bCs/>
                <w:sz w:val="22"/>
                <w:szCs w:val="22"/>
              </w:rPr>
              <w:t xml:space="preserve"> </w:t>
            </w:r>
            <w:r>
              <w:rPr>
                <w:rFonts w:ascii="Arial" w:hAnsi="Arial"/>
                <w:bCs/>
                <w:sz w:val="22"/>
                <w:szCs w:val="22"/>
              </w:rPr>
              <w:t>mettre</w:t>
            </w:r>
            <w:r w:rsidR="00474C4A">
              <w:rPr>
                <w:rFonts w:ascii="Arial" w:hAnsi="Arial"/>
                <w:bCs/>
                <w:sz w:val="22"/>
                <w:szCs w:val="22"/>
              </w:rPr>
              <w:t xml:space="preserve"> </w:t>
            </w:r>
            <w:r>
              <w:rPr>
                <w:rFonts w:ascii="Arial" w:hAnsi="Arial"/>
                <w:bCs/>
                <w:sz w:val="22"/>
                <w:szCs w:val="22"/>
              </w:rPr>
              <w:t>en</w:t>
            </w:r>
            <w:r w:rsidR="00474C4A">
              <w:rPr>
                <w:rFonts w:ascii="Arial" w:hAnsi="Arial"/>
                <w:bCs/>
                <w:sz w:val="22"/>
                <w:szCs w:val="22"/>
              </w:rPr>
              <w:t xml:space="preserve"> </w:t>
            </w:r>
            <w:r>
              <w:rPr>
                <w:rFonts w:ascii="Arial" w:hAnsi="Arial"/>
                <w:bCs/>
                <w:sz w:val="22"/>
                <w:szCs w:val="22"/>
              </w:rPr>
              <w:t>œuvre</w:t>
            </w:r>
            <w:r w:rsidR="00474C4A">
              <w:rPr>
                <w:rFonts w:ascii="Arial" w:hAnsi="Arial"/>
                <w:bCs/>
                <w:sz w:val="22"/>
                <w:szCs w:val="22"/>
              </w:rPr>
              <w:t xml:space="preserve"> </w:t>
            </w:r>
            <w:r>
              <w:rPr>
                <w:rFonts w:ascii="Arial" w:hAnsi="Arial"/>
                <w:bCs/>
                <w:sz w:val="22"/>
                <w:szCs w:val="22"/>
              </w:rPr>
              <w:t>pour</w:t>
            </w:r>
            <w:r>
              <w:rPr>
                <w:rFonts w:ascii="Arial" w:hAnsi="Arial"/>
                <w:b/>
                <w:bCs/>
                <w:sz w:val="22"/>
                <w:szCs w:val="22"/>
              </w:rPr>
              <w:t xml:space="preserve"> intégrer pleinement l</w:t>
            </w:r>
            <w:r w:rsidR="00474C4A">
              <w:rPr>
                <w:rFonts w:ascii="Arial" w:hAnsi="Arial"/>
                <w:b/>
                <w:bCs/>
                <w:sz w:val="22"/>
                <w:szCs w:val="22"/>
              </w:rPr>
              <w:t>’</w:t>
            </w:r>
            <w:r>
              <w:rPr>
                <w:rFonts w:ascii="Arial" w:hAnsi="Arial"/>
                <w:b/>
                <w:bCs/>
                <w:sz w:val="22"/>
                <w:szCs w:val="22"/>
              </w:rPr>
              <w:t>interdiction de la violence sexuelle dans toutes les activités des forces armées et de sécurité et des autorités détentrices</w:t>
            </w:r>
            <w:r>
              <w:rPr>
                <w:rFonts w:ascii="Arial" w:hAnsi="Arial"/>
                <w:bCs/>
                <w:sz w:val="22"/>
                <w:szCs w:val="22"/>
              </w:rPr>
              <w:t xml:space="preserve">, avec le soutien des composantes du Mouvement, selon que de besoin, </w:t>
            </w:r>
            <w:r w:rsidRPr="00527BBA">
              <w:rPr>
                <w:rFonts w:ascii="Arial" w:hAnsi="Arial"/>
                <w:bCs/>
                <w:sz w:val="22"/>
                <w:szCs w:val="22"/>
                <w:u w:val="single"/>
              </w:rPr>
              <w:t>et en particulier</w:t>
            </w:r>
            <w:r w:rsidRPr="00527BBA">
              <w:rPr>
                <w:rFonts w:ascii="Arial" w:hAnsi="Arial"/>
                <w:bCs/>
                <w:sz w:val="22"/>
                <w:szCs w:val="22"/>
              </w:rPr>
              <w:t> :</w:t>
            </w:r>
            <w:r>
              <w:rPr>
                <w:rFonts w:ascii="Arial" w:hAnsi="Arial"/>
                <w:bCs/>
                <w:sz w:val="22"/>
                <w:szCs w:val="22"/>
              </w:rPr>
              <w:t xml:space="preserve"> </w:t>
            </w:r>
          </w:p>
        </w:tc>
        <w:tc>
          <w:tcPr>
            <w:tcW w:w="384" w:type="dxa"/>
            <w:tcBorders>
              <w:top w:val="nil"/>
              <w:left w:val="nil"/>
              <w:bottom w:val="single" w:sz="4" w:space="0" w:color="auto"/>
              <w:right w:val="nil"/>
            </w:tcBorders>
            <w:shd w:val="clear" w:color="auto" w:fill="auto"/>
          </w:tcPr>
          <w:p w14:paraId="41EAA7DC" w14:textId="77777777" w:rsidR="00DA2D01" w:rsidRPr="00944D26" w:rsidRDefault="00DA2D01" w:rsidP="00944D26">
            <w:pPr>
              <w:jc w:val="both"/>
              <w:rPr>
                <w:rFonts w:ascii="Arial" w:hAnsi="Arial" w:cs="Arial"/>
                <w:bCs/>
                <w:sz w:val="22"/>
                <w:szCs w:val="22"/>
                <w:lang w:val="en-US"/>
              </w:rPr>
            </w:pPr>
          </w:p>
        </w:tc>
      </w:tr>
      <w:tr w:rsidR="00DA2D01" w:rsidRPr="00944D26" w14:paraId="10865F02" w14:textId="77777777" w:rsidTr="00352B7D">
        <w:tc>
          <w:tcPr>
            <w:tcW w:w="8688" w:type="dxa"/>
            <w:tcBorders>
              <w:top w:val="nil"/>
              <w:left w:val="nil"/>
              <w:bottom w:val="nil"/>
              <w:right w:val="single" w:sz="4" w:space="0" w:color="auto"/>
            </w:tcBorders>
            <w:shd w:val="clear" w:color="auto" w:fill="auto"/>
          </w:tcPr>
          <w:p w14:paraId="61C71AB4" w14:textId="4DC9A382" w:rsidR="00DA2D01" w:rsidRPr="00944D26" w:rsidRDefault="00DA2D01" w:rsidP="00E22BAF">
            <w:pPr>
              <w:numPr>
                <w:ilvl w:val="0"/>
                <w:numId w:val="5"/>
              </w:numPr>
              <w:overflowPunct/>
              <w:ind w:left="1058"/>
              <w:jc w:val="both"/>
              <w:textAlignment w:val="auto"/>
              <w:rPr>
                <w:rFonts w:ascii="Arial" w:hAnsi="Arial" w:cs="Arial"/>
                <w:bCs/>
              </w:rPr>
            </w:pPr>
            <w:r>
              <w:rPr>
                <w:rFonts w:ascii="Arial" w:hAnsi="Arial"/>
              </w:rPr>
              <w:t>Veiller à ce que</w:t>
            </w:r>
            <w:r>
              <w:rPr>
                <w:rFonts w:ascii="Arial" w:hAnsi="Arial"/>
                <w:bCs/>
              </w:rPr>
              <w:t xml:space="preserve"> la question de la violence sexuelle dans les conflits armés figure dans les programmes d</w:t>
            </w:r>
            <w:r w:rsidR="00474C4A">
              <w:rPr>
                <w:rFonts w:ascii="Arial" w:hAnsi="Arial"/>
                <w:bCs/>
              </w:rPr>
              <w:t>’</w:t>
            </w:r>
            <w:r>
              <w:rPr>
                <w:rFonts w:ascii="Arial" w:hAnsi="Arial"/>
                <w:bCs/>
              </w:rPr>
              <w:t xml:space="preserve">instruction et/ou les codes de conduite des forces armées et de sécurité et des autorités détentrices. </w:t>
            </w:r>
          </w:p>
        </w:tc>
        <w:tc>
          <w:tcPr>
            <w:tcW w:w="384" w:type="dxa"/>
            <w:tcBorders>
              <w:top w:val="single" w:sz="4" w:space="0" w:color="auto"/>
              <w:left w:val="single" w:sz="4" w:space="0" w:color="auto"/>
              <w:right w:val="single" w:sz="4" w:space="0" w:color="auto"/>
            </w:tcBorders>
            <w:shd w:val="clear" w:color="auto" w:fill="DEEAF6"/>
          </w:tcPr>
          <w:p w14:paraId="2E586779" w14:textId="77777777" w:rsidR="00DA2D01" w:rsidRPr="00944D26" w:rsidRDefault="00DA2D01" w:rsidP="00944D26">
            <w:pPr>
              <w:overflowPunct/>
              <w:jc w:val="both"/>
              <w:textAlignment w:val="auto"/>
              <w:rPr>
                <w:rFonts w:ascii="Arial" w:hAnsi="Arial" w:cs="Arial"/>
                <w:sz w:val="22"/>
                <w:szCs w:val="22"/>
                <w:lang w:eastAsia="nb-NO"/>
              </w:rPr>
            </w:pPr>
          </w:p>
        </w:tc>
      </w:tr>
      <w:tr w:rsidR="00DA2D01" w:rsidRPr="00944D26" w14:paraId="1C400880" w14:textId="77777777" w:rsidTr="00352B7D">
        <w:tc>
          <w:tcPr>
            <w:tcW w:w="8688" w:type="dxa"/>
            <w:tcBorders>
              <w:top w:val="nil"/>
              <w:left w:val="nil"/>
              <w:bottom w:val="nil"/>
              <w:right w:val="single" w:sz="4" w:space="0" w:color="auto"/>
            </w:tcBorders>
            <w:shd w:val="clear" w:color="auto" w:fill="auto"/>
          </w:tcPr>
          <w:p w14:paraId="0DF77F3C" w14:textId="52086358" w:rsidR="00DA2D01" w:rsidRPr="00944D26" w:rsidRDefault="00DA2D01" w:rsidP="00E22BAF">
            <w:pPr>
              <w:numPr>
                <w:ilvl w:val="0"/>
                <w:numId w:val="5"/>
              </w:numPr>
              <w:overflowPunct/>
              <w:ind w:left="1058"/>
              <w:jc w:val="both"/>
              <w:textAlignment w:val="auto"/>
              <w:rPr>
                <w:rFonts w:ascii="Arial" w:hAnsi="Arial" w:cs="Arial"/>
                <w:bCs/>
              </w:rPr>
            </w:pPr>
            <w:r>
              <w:rPr>
                <w:rFonts w:ascii="Arial" w:hAnsi="Arial"/>
              </w:rPr>
              <w:t>Organiser</w:t>
            </w:r>
            <w:r>
              <w:rPr>
                <w:rFonts w:ascii="Arial" w:hAnsi="Arial"/>
                <w:bCs/>
              </w:rPr>
              <w:t xml:space="preserve"> [ou participer à] une réunion d</w:t>
            </w:r>
            <w:r w:rsidR="00474C4A">
              <w:rPr>
                <w:rFonts w:ascii="Arial" w:hAnsi="Arial"/>
                <w:bCs/>
              </w:rPr>
              <w:t>’</w:t>
            </w:r>
            <w:r>
              <w:rPr>
                <w:rFonts w:ascii="Arial" w:hAnsi="Arial"/>
                <w:bCs/>
              </w:rPr>
              <w:t xml:space="preserve">experts des forces armées et de sécurité et/ou des autorités détentrices sur les expériences et les bonnes pratiques en matière de prévention de la violence sexuelle dans les conflits armés. </w:t>
            </w:r>
          </w:p>
        </w:tc>
        <w:tc>
          <w:tcPr>
            <w:tcW w:w="384" w:type="dxa"/>
            <w:tcBorders>
              <w:left w:val="single" w:sz="4" w:space="0" w:color="auto"/>
              <w:right w:val="single" w:sz="4" w:space="0" w:color="auto"/>
            </w:tcBorders>
            <w:shd w:val="clear" w:color="auto" w:fill="DEEAF6"/>
          </w:tcPr>
          <w:p w14:paraId="6AD8DA6A" w14:textId="77777777" w:rsidR="00DA2D01" w:rsidRPr="00944D26" w:rsidRDefault="00DA2D01" w:rsidP="00944D26">
            <w:pPr>
              <w:overflowPunct/>
              <w:jc w:val="both"/>
              <w:textAlignment w:val="auto"/>
              <w:rPr>
                <w:rFonts w:ascii="Arial" w:hAnsi="Arial" w:cs="Arial"/>
                <w:sz w:val="22"/>
                <w:szCs w:val="22"/>
                <w:lang w:eastAsia="nb-NO"/>
              </w:rPr>
            </w:pPr>
          </w:p>
        </w:tc>
      </w:tr>
      <w:tr w:rsidR="00DA2D01" w:rsidRPr="00944D26" w14:paraId="7406C21A" w14:textId="77777777" w:rsidTr="00352B7D">
        <w:tc>
          <w:tcPr>
            <w:tcW w:w="8688" w:type="dxa"/>
            <w:tcBorders>
              <w:top w:val="nil"/>
              <w:left w:val="nil"/>
              <w:bottom w:val="nil"/>
              <w:right w:val="single" w:sz="4" w:space="0" w:color="auto"/>
            </w:tcBorders>
            <w:shd w:val="clear" w:color="auto" w:fill="auto"/>
          </w:tcPr>
          <w:p w14:paraId="00376409" w14:textId="6A046C9C" w:rsidR="002E01A0" w:rsidRPr="003C008B" w:rsidRDefault="00DA2D01" w:rsidP="002E01A0">
            <w:pPr>
              <w:numPr>
                <w:ilvl w:val="0"/>
                <w:numId w:val="5"/>
              </w:numPr>
              <w:overflowPunct/>
              <w:ind w:left="1058"/>
              <w:jc w:val="both"/>
              <w:textAlignment w:val="auto"/>
              <w:rPr>
                <w:rFonts w:ascii="Arial" w:hAnsi="Arial" w:cs="Arial"/>
              </w:rPr>
            </w:pPr>
            <w:r>
              <w:rPr>
                <w:rFonts w:ascii="Arial" w:hAnsi="Arial"/>
              </w:rPr>
              <w:t xml:space="preserve">Solliciter les </w:t>
            </w:r>
            <w:r>
              <w:rPr>
                <w:rFonts w:ascii="Arial" w:hAnsi="Arial"/>
                <w:b/>
              </w:rPr>
              <w:t xml:space="preserve">Sociétés </w:t>
            </w:r>
            <w:r w:rsidRPr="001442A9">
              <w:rPr>
                <w:rFonts w:ascii="Arial" w:hAnsi="Arial"/>
                <w:b/>
              </w:rPr>
              <w:t>nationales de la Croix-Rouge et du Croissant-Rouge</w:t>
            </w:r>
            <w:r w:rsidRPr="001442A9">
              <w:rPr>
                <w:rFonts w:ascii="Arial" w:hAnsi="Arial"/>
              </w:rPr>
              <w:t xml:space="preserve"> et/ou le CICR, en particulier </w:t>
            </w:r>
            <w:r w:rsidR="001442A9" w:rsidRPr="001442A9">
              <w:rPr>
                <w:rFonts w:ascii="Arial" w:hAnsi="Arial"/>
              </w:rPr>
              <w:t>l’</w:t>
            </w:r>
            <w:r w:rsidR="00527BBA" w:rsidRPr="001442A9">
              <w:rPr>
                <w:rFonts w:ascii="Arial" w:hAnsi="Arial" w:cs="Arial"/>
              </w:rPr>
              <w:t>Unité relations avec les porteurs d’armes</w:t>
            </w:r>
            <w:r w:rsidRPr="001442A9">
              <w:rPr>
                <w:rFonts w:ascii="Arial" w:hAnsi="Arial" w:cs="Arial"/>
              </w:rPr>
              <w:t>,</w:t>
            </w:r>
            <w:r>
              <w:rPr>
                <w:rFonts w:ascii="Arial" w:hAnsi="Arial"/>
              </w:rPr>
              <w:t xml:space="preserve"> </w:t>
            </w:r>
            <w:r w:rsidR="002D58C1">
              <w:rPr>
                <w:rFonts w:ascii="Arial" w:hAnsi="Arial"/>
              </w:rPr>
              <w:t>selon que de besoin</w:t>
            </w:r>
            <w:r>
              <w:rPr>
                <w:rFonts w:ascii="Arial" w:hAnsi="Arial"/>
              </w:rPr>
              <w:t>, lorsqu</w:t>
            </w:r>
            <w:r w:rsidR="00474C4A">
              <w:rPr>
                <w:rFonts w:ascii="Arial" w:hAnsi="Arial"/>
              </w:rPr>
              <w:t>’</w:t>
            </w:r>
            <w:r>
              <w:rPr>
                <w:rFonts w:ascii="Arial" w:hAnsi="Arial"/>
              </w:rPr>
              <w:t>un soutien technique est nécessaire pour la mise en œuvre de l</w:t>
            </w:r>
            <w:r w:rsidR="00474C4A">
              <w:rPr>
                <w:rFonts w:ascii="Arial" w:hAnsi="Arial"/>
              </w:rPr>
              <w:t>’</w:t>
            </w:r>
            <w:r>
              <w:rPr>
                <w:rFonts w:ascii="Arial" w:hAnsi="Arial"/>
              </w:rPr>
              <w:t xml:space="preserve">engagement susmentionné. </w:t>
            </w:r>
          </w:p>
          <w:p w14:paraId="68055DD2" w14:textId="77777777" w:rsidR="003C008B" w:rsidRDefault="003C008B" w:rsidP="003C008B">
            <w:pPr>
              <w:overflowPunct/>
              <w:jc w:val="both"/>
              <w:textAlignment w:val="auto"/>
              <w:rPr>
                <w:rFonts w:ascii="Arial" w:hAnsi="Arial"/>
              </w:rPr>
            </w:pPr>
          </w:p>
          <w:p w14:paraId="30ED419A" w14:textId="77777777" w:rsidR="003C008B" w:rsidRDefault="003C008B" w:rsidP="003C008B">
            <w:pPr>
              <w:overflowPunct/>
              <w:jc w:val="both"/>
              <w:textAlignment w:val="auto"/>
              <w:rPr>
                <w:rFonts w:ascii="Arial" w:hAnsi="Arial"/>
              </w:rPr>
            </w:pPr>
            <w:bookmarkStart w:id="1" w:name="_GoBack"/>
            <w:bookmarkEnd w:id="1"/>
          </w:p>
          <w:p w14:paraId="18FA8C23" w14:textId="77777777" w:rsidR="003C008B" w:rsidRDefault="003C008B" w:rsidP="003C008B">
            <w:pPr>
              <w:overflowPunct/>
              <w:jc w:val="both"/>
              <w:textAlignment w:val="auto"/>
              <w:rPr>
                <w:rFonts w:ascii="Arial" w:hAnsi="Arial"/>
              </w:rPr>
            </w:pPr>
          </w:p>
          <w:p w14:paraId="5EDED05D" w14:textId="77777777" w:rsidR="003C008B" w:rsidRDefault="003C008B" w:rsidP="003C008B">
            <w:pPr>
              <w:overflowPunct/>
              <w:jc w:val="both"/>
              <w:textAlignment w:val="auto"/>
              <w:rPr>
                <w:rFonts w:ascii="Arial" w:hAnsi="Arial"/>
              </w:rPr>
            </w:pPr>
          </w:p>
          <w:p w14:paraId="24EC5BB9" w14:textId="77777777" w:rsidR="003C008B" w:rsidRDefault="003C008B" w:rsidP="003C008B">
            <w:pPr>
              <w:overflowPunct/>
              <w:jc w:val="both"/>
              <w:textAlignment w:val="auto"/>
              <w:rPr>
                <w:rFonts w:ascii="Arial" w:hAnsi="Arial"/>
              </w:rPr>
            </w:pPr>
          </w:p>
          <w:p w14:paraId="1A879D2E" w14:textId="77777777" w:rsidR="003C008B" w:rsidRDefault="003C008B" w:rsidP="003C008B">
            <w:pPr>
              <w:overflowPunct/>
              <w:jc w:val="both"/>
              <w:textAlignment w:val="auto"/>
              <w:rPr>
                <w:rFonts w:ascii="Arial" w:hAnsi="Arial"/>
              </w:rPr>
            </w:pPr>
          </w:p>
          <w:p w14:paraId="5F92D0DE" w14:textId="45784168" w:rsidR="003C008B" w:rsidRPr="002E3668" w:rsidRDefault="003C008B" w:rsidP="003C008B">
            <w:pPr>
              <w:overflowPunct/>
              <w:jc w:val="both"/>
              <w:textAlignment w:val="auto"/>
              <w:rPr>
                <w:rFonts w:ascii="Arial" w:hAnsi="Arial" w:cs="Arial"/>
              </w:rPr>
            </w:pPr>
          </w:p>
        </w:tc>
        <w:tc>
          <w:tcPr>
            <w:tcW w:w="384" w:type="dxa"/>
            <w:tcBorders>
              <w:left w:val="single" w:sz="4" w:space="0" w:color="auto"/>
              <w:bottom w:val="single" w:sz="4" w:space="0" w:color="auto"/>
              <w:right w:val="single" w:sz="4" w:space="0" w:color="auto"/>
            </w:tcBorders>
            <w:shd w:val="clear" w:color="auto" w:fill="DEEAF6"/>
          </w:tcPr>
          <w:p w14:paraId="1E63C199" w14:textId="77777777" w:rsidR="00DA2D01" w:rsidRPr="00944D26" w:rsidRDefault="00DA2D01" w:rsidP="00944D26">
            <w:pPr>
              <w:overflowPunct/>
              <w:jc w:val="both"/>
              <w:textAlignment w:val="auto"/>
              <w:rPr>
                <w:rFonts w:ascii="Arial" w:hAnsi="Arial" w:cs="Arial"/>
                <w:sz w:val="22"/>
                <w:szCs w:val="22"/>
                <w:lang w:eastAsia="nb-NO"/>
              </w:rPr>
            </w:pPr>
          </w:p>
        </w:tc>
      </w:tr>
      <w:tr w:rsidR="00DA2D01" w:rsidRPr="00944D26" w14:paraId="6B4094D7" w14:textId="77777777" w:rsidTr="00352B7D">
        <w:tc>
          <w:tcPr>
            <w:tcW w:w="8688" w:type="dxa"/>
            <w:tcBorders>
              <w:top w:val="nil"/>
              <w:left w:val="nil"/>
              <w:bottom w:val="nil"/>
              <w:right w:val="nil"/>
            </w:tcBorders>
            <w:shd w:val="clear" w:color="auto" w:fill="auto"/>
          </w:tcPr>
          <w:p w14:paraId="42515023" w14:textId="77777777" w:rsidR="00DA2D01" w:rsidRPr="00944D26" w:rsidRDefault="00DA2D01" w:rsidP="00944D26">
            <w:pPr>
              <w:pStyle w:val="Indent1"/>
              <w:ind w:left="0" w:firstLine="0"/>
              <w:rPr>
                <w:rFonts w:ascii="Arial" w:hAnsi="Arial" w:cs="Arial"/>
                <w:bCs/>
                <w:sz w:val="22"/>
                <w:szCs w:val="22"/>
                <w:lang w:val="en-US"/>
              </w:rPr>
            </w:pPr>
          </w:p>
        </w:tc>
        <w:tc>
          <w:tcPr>
            <w:tcW w:w="384" w:type="dxa"/>
            <w:tcBorders>
              <w:top w:val="single" w:sz="4" w:space="0" w:color="auto"/>
              <w:left w:val="nil"/>
              <w:bottom w:val="nil"/>
              <w:right w:val="nil"/>
            </w:tcBorders>
            <w:shd w:val="clear" w:color="auto" w:fill="auto"/>
          </w:tcPr>
          <w:p w14:paraId="447C2FBF" w14:textId="77777777" w:rsidR="00DA2D01" w:rsidRPr="00944D26" w:rsidRDefault="00DA2D01" w:rsidP="00944D26">
            <w:pPr>
              <w:pStyle w:val="Indent1"/>
              <w:ind w:left="0" w:firstLine="0"/>
              <w:rPr>
                <w:rFonts w:ascii="Arial" w:hAnsi="Arial" w:cs="Arial"/>
                <w:bCs/>
                <w:sz w:val="22"/>
                <w:szCs w:val="22"/>
                <w:lang w:val="en-US"/>
              </w:rPr>
            </w:pPr>
          </w:p>
        </w:tc>
      </w:tr>
      <w:tr w:rsidR="00DA2D01" w:rsidRPr="00944D26" w14:paraId="23162FED" w14:textId="77777777" w:rsidTr="00352B7D">
        <w:tc>
          <w:tcPr>
            <w:tcW w:w="8688" w:type="dxa"/>
            <w:tcBorders>
              <w:top w:val="nil"/>
              <w:left w:val="nil"/>
              <w:bottom w:val="nil"/>
              <w:right w:val="nil"/>
            </w:tcBorders>
            <w:shd w:val="clear" w:color="auto" w:fill="auto"/>
          </w:tcPr>
          <w:p w14:paraId="279AEFDF" w14:textId="0AFD314F" w:rsidR="00DA2D01" w:rsidRPr="00944D26" w:rsidRDefault="00E6463F" w:rsidP="00E40E21">
            <w:pPr>
              <w:numPr>
                <w:ilvl w:val="0"/>
                <w:numId w:val="2"/>
              </w:numPr>
              <w:jc w:val="both"/>
              <w:rPr>
                <w:rFonts w:ascii="Arial" w:hAnsi="Arial" w:cs="Arial"/>
                <w:bCs/>
                <w:sz w:val="22"/>
                <w:szCs w:val="22"/>
              </w:rPr>
            </w:pPr>
            <w:r>
              <w:rPr>
                <w:rFonts w:ascii="Arial" w:hAnsi="Arial"/>
                <w:bCs/>
                <w:sz w:val="22"/>
                <w:szCs w:val="22"/>
              </w:rPr>
              <w:lastRenderedPageBreak/>
              <w:t xml:space="preserve">Mettre tout en œuvre </w:t>
            </w:r>
            <w:r w:rsidR="00DA2D01">
              <w:rPr>
                <w:rFonts w:ascii="Arial" w:hAnsi="Arial"/>
                <w:bCs/>
                <w:sz w:val="22"/>
                <w:szCs w:val="22"/>
              </w:rPr>
              <w:t>pour que les survivants/victimes de violences sexuelles et de violences sexistes puissent, dans la mesure du possible,</w:t>
            </w:r>
            <w:r w:rsidR="00DA2D01">
              <w:rPr>
                <w:rFonts w:ascii="Arial" w:hAnsi="Arial"/>
                <w:b/>
                <w:bCs/>
                <w:sz w:val="22"/>
                <w:szCs w:val="22"/>
              </w:rPr>
              <w:t xml:space="preserve"> accéder à tout moment, sans entrave et sans discrimination, à un ensemble complet de services de santé</w:t>
            </w:r>
            <w:r w:rsidR="00DA2D01">
              <w:rPr>
                <w:rFonts w:ascii="Arial" w:hAnsi="Arial"/>
                <w:bCs/>
                <w:sz w:val="22"/>
                <w:szCs w:val="22"/>
              </w:rPr>
              <w:t>, dont des soins de santé sexuelle et reproductive, en fonction de la législation nationale, et des services de réadaptation physique, de soutien psychologique et psychosocial, d</w:t>
            </w:r>
            <w:r w:rsidR="00474C4A">
              <w:rPr>
                <w:rFonts w:ascii="Arial" w:hAnsi="Arial"/>
                <w:bCs/>
                <w:sz w:val="22"/>
                <w:szCs w:val="22"/>
              </w:rPr>
              <w:t>’</w:t>
            </w:r>
            <w:r w:rsidR="00DA2D01">
              <w:rPr>
                <w:rFonts w:ascii="Arial" w:hAnsi="Arial"/>
                <w:bCs/>
                <w:sz w:val="22"/>
                <w:szCs w:val="22"/>
              </w:rPr>
              <w:t>assistance juridique, d</w:t>
            </w:r>
            <w:r w:rsidR="00474C4A">
              <w:rPr>
                <w:rFonts w:ascii="Arial" w:hAnsi="Arial"/>
                <w:bCs/>
                <w:sz w:val="22"/>
                <w:szCs w:val="22"/>
              </w:rPr>
              <w:t>’</w:t>
            </w:r>
            <w:r w:rsidR="00DA2D01">
              <w:rPr>
                <w:rFonts w:ascii="Arial" w:hAnsi="Arial"/>
                <w:bCs/>
                <w:sz w:val="22"/>
                <w:szCs w:val="22"/>
              </w:rPr>
              <w:t>appui socioéconomique et de soutien spirituel, selon que de besoin, en gardant toujours à l</w:t>
            </w:r>
            <w:r w:rsidR="00474C4A">
              <w:rPr>
                <w:rFonts w:ascii="Arial" w:hAnsi="Arial"/>
                <w:bCs/>
                <w:sz w:val="22"/>
                <w:szCs w:val="22"/>
              </w:rPr>
              <w:t>’</w:t>
            </w:r>
            <w:r w:rsidR="00DA2D01">
              <w:rPr>
                <w:rFonts w:ascii="Arial" w:hAnsi="Arial"/>
                <w:bCs/>
                <w:sz w:val="22"/>
                <w:szCs w:val="22"/>
              </w:rPr>
              <w:t>esprit la nécessité de garantir la dignité et la sécurité des survivants/victimes et l</w:t>
            </w:r>
            <w:r w:rsidR="00474C4A">
              <w:rPr>
                <w:rFonts w:ascii="Arial" w:hAnsi="Arial"/>
                <w:bCs/>
                <w:sz w:val="22"/>
                <w:szCs w:val="22"/>
              </w:rPr>
              <w:t>’</w:t>
            </w:r>
            <w:r w:rsidR="00DA2D01">
              <w:rPr>
                <w:rFonts w:ascii="Arial" w:hAnsi="Arial"/>
                <w:bCs/>
                <w:sz w:val="22"/>
                <w:szCs w:val="22"/>
              </w:rPr>
              <w:t>importance de protéger la confidentialité et le droit à la vie privée, notamment en luttant contre des problèmes tels que la stigmatisation sociale des survivants/victimes</w:t>
            </w:r>
            <w:r w:rsidR="00DA2D01" w:rsidRPr="002E3668">
              <w:rPr>
                <w:rFonts w:ascii="Arial" w:hAnsi="Arial"/>
                <w:bCs/>
                <w:sz w:val="22"/>
                <w:szCs w:val="22"/>
              </w:rPr>
              <w:t xml:space="preserve">, </w:t>
            </w:r>
            <w:r w:rsidR="00DA2D01" w:rsidRPr="002E3668">
              <w:rPr>
                <w:rFonts w:ascii="Arial" w:hAnsi="Arial"/>
                <w:bCs/>
                <w:sz w:val="22"/>
                <w:szCs w:val="22"/>
                <w:u w:val="single"/>
              </w:rPr>
              <w:t>et en particulier</w:t>
            </w:r>
            <w:r w:rsidR="00DA2D01" w:rsidRPr="002E3668">
              <w:rPr>
                <w:rFonts w:ascii="Arial" w:hAnsi="Arial"/>
                <w:bCs/>
                <w:sz w:val="22"/>
                <w:szCs w:val="22"/>
              </w:rPr>
              <w:t> :</w:t>
            </w:r>
            <w:r w:rsidR="00DA2D01">
              <w:rPr>
                <w:rFonts w:ascii="Arial" w:hAnsi="Arial"/>
                <w:bCs/>
                <w:sz w:val="22"/>
                <w:szCs w:val="22"/>
              </w:rPr>
              <w:t xml:space="preserve"> </w:t>
            </w:r>
          </w:p>
        </w:tc>
        <w:tc>
          <w:tcPr>
            <w:tcW w:w="384" w:type="dxa"/>
            <w:tcBorders>
              <w:top w:val="nil"/>
              <w:left w:val="nil"/>
              <w:bottom w:val="single" w:sz="4" w:space="0" w:color="auto"/>
              <w:right w:val="nil"/>
            </w:tcBorders>
            <w:shd w:val="clear" w:color="auto" w:fill="auto"/>
          </w:tcPr>
          <w:p w14:paraId="7DF109E9" w14:textId="77777777" w:rsidR="00DA2D01" w:rsidRPr="00944D26" w:rsidRDefault="00DA2D01" w:rsidP="00944D26">
            <w:pPr>
              <w:jc w:val="both"/>
              <w:rPr>
                <w:rFonts w:ascii="Arial" w:hAnsi="Arial" w:cs="Arial"/>
                <w:bCs/>
                <w:sz w:val="22"/>
                <w:szCs w:val="22"/>
                <w:lang w:val="en-US"/>
              </w:rPr>
            </w:pPr>
          </w:p>
        </w:tc>
      </w:tr>
      <w:tr w:rsidR="00DA2D01" w:rsidRPr="00944D26" w14:paraId="7A25030A" w14:textId="77777777" w:rsidTr="00352B7D">
        <w:tc>
          <w:tcPr>
            <w:tcW w:w="8688" w:type="dxa"/>
            <w:tcBorders>
              <w:top w:val="nil"/>
              <w:left w:val="nil"/>
              <w:bottom w:val="nil"/>
              <w:right w:val="single" w:sz="4" w:space="0" w:color="auto"/>
            </w:tcBorders>
            <w:shd w:val="clear" w:color="auto" w:fill="auto"/>
          </w:tcPr>
          <w:p w14:paraId="25394960" w14:textId="7374ABE3" w:rsidR="00DA2D01" w:rsidRPr="00944D26" w:rsidRDefault="00DA2D01" w:rsidP="00E22BAF">
            <w:pPr>
              <w:numPr>
                <w:ilvl w:val="0"/>
                <w:numId w:val="5"/>
              </w:numPr>
              <w:overflowPunct/>
              <w:ind w:left="1058"/>
              <w:jc w:val="both"/>
              <w:textAlignment w:val="auto"/>
              <w:rPr>
                <w:rFonts w:ascii="Arial" w:hAnsi="Arial" w:cs="Arial"/>
                <w:bCs/>
              </w:rPr>
            </w:pPr>
            <w:r>
              <w:rPr>
                <w:rFonts w:ascii="Arial" w:hAnsi="Arial"/>
                <w:bCs/>
              </w:rPr>
              <w:t>Prendre des mesures concrètes pour identifier et éliminer les obstacles empêchant les victimes/survivants d</w:t>
            </w:r>
            <w:r w:rsidR="00474C4A">
              <w:rPr>
                <w:rFonts w:ascii="Arial" w:hAnsi="Arial"/>
                <w:bCs/>
              </w:rPr>
              <w:t>’</w:t>
            </w:r>
            <w:r>
              <w:rPr>
                <w:rFonts w:ascii="Arial" w:hAnsi="Arial"/>
                <w:bCs/>
              </w:rPr>
              <w:t>avoir accès aux services pendant les conflits, les situations de catastrophe et d</w:t>
            </w:r>
            <w:r w:rsidR="00474C4A">
              <w:rPr>
                <w:rFonts w:ascii="Arial" w:hAnsi="Arial"/>
                <w:bCs/>
              </w:rPr>
              <w:t>’</w:t>
            </w:r>
            <w:r>
              <w:rPr>
                <w:rFonts w:ascii="Arial" w:hAnsi="Arial"/>
                <w:bCs/>
              </w:rPr>
              <w:t>autres situations d</w:t>
            </w:r>
            <w:r w:rsidR="00474C4A">
              <w:rPr>
                <w:rFonts w:ascii="Arial" w:hAnsi="Arial"/>
                <w:bCs/>
              </w:rPr>
              <w:t>’</w:t>
            </w:r>
            <w:r>
              <w:rPr>
                <w:rFonts w:ascii="Arial" w:hAnsi="Arial"/>
                <w:bCs/>
              </w:rPr>
              <w:t>urgence [ou en dehors des périodes d</w:t>
            </w:r>
            <w:r w:rsidR="00474C4A">
              <w:rPr>
                <w:rFonts w:ascii="Arial" w:hAnsi="Arial"/>
                <w:bCs/>
              </w:rPr>
              <w:t>’</w:t>
            </w:r>
            <w:r>
              <w:rPr>
                <w:rFonts w:ascii="Arial" w:hAnsi="Arial"/>
                <w:bCs/>
              </w:rPr>
              <w:t>urgence] [y compris en supprimant l</w:t>
            </w:r>
            <w:r w:rsidR="00474C4A">
              <w:rPr>
                <w:rFonts w:ascii="Arial" w:hAnsi="Arial"/>
                <w:bCs/>
              </w:rPr>
              <w:t>’</w:t>
            </w:r>
            <w:r>
              <w:rPr>
                <w:rFonts w:ascii="Arial" w:hAnsi="Arial"/>
                <w:bCs/>
              </w:rPr>
              <w:t>obligation de signaler les actes à la police comme condition préalable pour pouvoir bénéficier de soins médicaux].</w:t>
            </w:r>
          </w:p>
        </w:tc>
        <w:tc>
          <w:tcPr>
            <w:tcW w:w="384" w:type="dxa"/>
            <w:tcBorders>
              <w:top w:val="single" w:sz="4" w:space="0" w:color="auto"/>
              <w:left w:val="single" w:sz="4" w:space="0" w:color="auto"/>
              <w:right w:val="single" w:sz="4" w:space="0" w:color="auto"/>
            </w:tcBorders>
            <w:shd w:val="clear" w:color="auto" w:fill="DEEAF6"/>
          </w:tcPr>
          <w:p w14:paraId="21C0BD25" w14:textId="77777777" w:rsidR="00DA2D01" w:rsidRPr="00944D26" w:rsidRDefault="00DA2D01" w:rsidP="00944D26">
            <w:pPr>
              <w:overflowPunct/>
              <w:jc w:val="both"/>
              <w:textAlignment w:val="auto"/>
              <w:rPr>
                <w:rFonts w:ascii="Arial" w:hAnsi="Arial" w:cs="Arial"/>
                <w:bCs/>
                <w:sz w:val="22"/>
                <w:szCs w:val="22"/>
                <w:lang w:val="en-US"/>
              </w:rPr>
            </w:pPr>
          </w:p>
        </w:tc>
      </w:tr>
      <w:tr w:rsidR="00DA2D01" w:rsidRPr="00944D26" w14:paraId="6597A64F" w14:textId="77777777" w:rsidTr="00352B7D">
        <w:tc>
          <w:tcPr>
            <w:tcW w:w="8688" w:type="dxa"/>
            <w:tcBorders>
              <w:top w:val="nil"/>
              <w:left w:val="nil"/>
              <w:bottom w:val="nil"/>
              <w:right w:val="single" w:sz="4" w:space="0" w:color="auto"/>
            </w:tcBorders>
            <w:shd w:val="clear" w:color="auto" w:fill="auto"/>
          </w:tcPr>
          <w:p w14:paraId="0C189E01" w14:textId="1CDA2E0A" w:rsidR="00DA2D01" w:rsidRPr="00944D26" w:rsidRDefault="00DA2D01" w:rsidP="00E22BAF">
            <w:pPr>
              <w:numPr>
                <w:ilvl w:val="0"/>
                <w:numId w:val="5"/>
              </w:numPr>
              <w:overflowPunct/>
              <w:ind w:left="1058"/>
              <w:jc w:val="both"/>
              <w:textAlignment w:val="auto"/>
              <w:rPr>
                <w:rFonts w:ascii="Arial" w:hAnsi="Arial" w:cs="Arial"/>
              </w:rPr>
            </w:pPr>
            <w:r>
              <w:rPr>
                <w:rFonts w:ascii="Arial" w:hAnsi="Arial"/>
              </w:rPr>
              <w:t xml:space="preserve">Solliciter les </w:t>
            </w:r>
            <w:r>
              <w:rPr>
                <w:rFonts w:ascii="Arial" w:hAnsi="Arial"/>
                <w:b/>
                <w:bCs/>
              </w:rPr>
              <w:t>Sociétés nationales de la Croix-Rouge et du Croissant-Rouge</w:t>
            </w:r>
            <w:r>
              <w:rPr>
                <w:rFonts w:ascii="Arial" w:hAnsi="Arial"/>
              </w:rPr>
              <w:t>, le CICR, en particulier les responsables de</w:t>
            </w:r>
            <w:r w:rsidR="00AF74D8">
              <w:rPr>
                <w:rFonts w:ascii="Arial" w:hAnsi="Arial"/>
              </w:rPr>
              <w:t>s</w:t>
            </w:r>
            <w:r>
              <w:rPr>
                <w:rFonts w:ascii="Arial" w:hAnsi="Arial"/>
              </w:rPr>
              <w:t xml:space="preserve"> </w:t>
            </w:r>
            <w:r>
              <w:rPr>
                <w:rFonts w:ascii="Arial" w:hAnsi="Arial"/>
                <w:b/>
                <w:bCs/>
              </w:rPr>
              <w:t>opérations de lutte contre la violence sexuelle</w:t>
            </w:r>
            <w:r>
              <w:rPr>
                <w:rFonts w:ascii="Arial" w:hAnsi="Arial"/>
              </w:rPr>
              <w:t xml:space="preserve">, et/ou la Fédération internationale, en particulier les </w:t>
            </w:r>
            <w:r>
              <w:rPr>
                <w:rFonts w:ascii="Arial" w:hAnsi="Arial"/>
                <w:b/>
                <w:bCs/>
              </w:rPr>
              <w:t>délégués/coordonnateurs chargés des questions de protection, de genre et d</w:t>
            </w:r>
            <w:r w:rsidR="00474C4A">
              <w:rPr>
                <w:rFonts w:ascii="Arial" w:hAnsi="Arial"/>
                <w:b/>
                <w:bCs/>
              </w:rPr>
              <w:t>’</w:t>
            </w:r>
            <w:r>
              <w:rPr>
                <w:rFonts w:ascii="Arial" w:hAnsi="Arial"/>
                <w:b/>
                <w:bCs/>
              </w:rPr>
              <w:t>intégration</w:t>
            </w:r>
            <w:r>
              <w:rPr>
                <w:rFonts w:ascii="Arial" w:hAnsi="Arial"/>
              </w:rPr>
              <w:t xml:space="preserve">, et </w:t>
            </w:r>
            <w:r>
              <w:rPr>
                <w:rFonts w:ascii="Arial" w:hAnsi="Arial"/>
                <w:b/>
                <w:bCs/>
              </w:rPr>
              <w:t>les coordonnateurs des secours d</w:t>
            </w:r>
            <w:r w:rsidR="00474C4A">
              <w:rPr>
                <w:rFonts w:ascii="Arial" w:hAnsi="Arial"/>
                <w:b/>
                <w:bCs/>
              </w:rPr>
              <w:t>’</w:t>
            </w:r>
            <w:r>
              <w:rPr>
                <w:rFonts w:ascii="Arial" w:hAnsi="Arial"/>
                <w:b/>
                <w:bCs/>
              </w:rPr>
              <w:t>urgence ou le département Santé et assistance aux personnes</w:t>
            </w:r>
            <w:r>
              <w:rPr>
                <w:rFonts w:ascii="Arial" w:hAnsi="Arial"/>
              </w:rPr>
              <w:t>,</w:t>
            </w:r>
            <w:r w:rsidR="00E54D7E">
              <w:rPr>
                <w:rFonts w:ascii="Arial" w:hAnsi="Arial"/>
              </w:rPr>
              <w:t xml:space="preserve"> </w:t>
            </w:r>
            <w:r w:rsidR="00E54D7E" w:rsidRPr="00B4656C">
              <w:rPr>
                <w:rFonts w:ascii="Arial" w:hAnsi="Arial"/>
              </w:rPr>
              <w:t>et d’autres acteurs concernés de l’aide humanitaire et du développement,</w:t>
            </w:r>
            <w:r>
              <w:rPr>
                <w:rFonts w:ascii="Arial" w:hAnsi="Arial"/>
              </w:rPr>
              <w:t xml:space="preserve"> le cas échéant, lorsqu</w:t>
            </w:r>
            <w:r w:rsidR="00474C4A">
              <w:rPr>
                <w:rFonts w:ascii="Arial" w:hAnsi="Arial"/>
              </w:rPr>
              <w:t>’</w:t>
            </w:r>
            <w:r>
              <w:rPr>
                <w:rFonts w:ascii="Arial" w:hAnsi="Arial"/>
              </w:rPr>
              <w:t>un soutien technique est nécessaire pour la mise en œuvre de l</w:t>
            </w:r>
            <w:r w:rsidR="00474C4A">
              <w:rPr>
                <w:rFonts w:ascii="Arial" w:hAnsi="Arial"/>
              </w:rPr>
              <w:t>’</w:t>
            </w:r>
            <w:r>
              <w:rPr>
                <w:rFonts w:ascii="Arial" w:hAnsi="Arial"/>
              </w:rPr>
              <w:t xml:space="preserve">engagement susmentionné. </w:t>
            </w:r>
          </w:p>
        </w:tc>
        <w:tc>
          <w:tcPr>
            <w:tcW w:w="384" w:type="dxa"/>
            <w:tcBorders>
              <w:left w:val="single" w:sz="4" w:space="0" w:color="auto"/>
              <w:bottom w:val="single" w:sz="4" w:space="0" w:color="auto"/>
              <w:right w:val="single" w:sz="4" w:space="0" w:color="auto"/>
            </w:tcBorders>
            <w:shd w:val="clear" w:color="auto" w:fill="DEEAF6"/>
          </w:tcPr>
          <w:p w14:paraId="27724396" w14:textId="77777777" w:rsidR="00DA2D01" w:rsidRPr="00944D26" w:rsidRDefault="00DA2D01" w:rsidP="00944D26">
            <w:pPr>
              <w:overflowPunct/>
              <w:jc w:val="both"/>
              <w:textAlignment w:val="auto"/>
              <w:rPr>
                <w:rFonts w:ascii="Arial" w:hAnsi="Arial" w:cs="Arial"/>
                <w:bCs/>
                <w:sz w:val="22"/>
                <w:szCs w:val="22"/>
                <w:lang w:val="en-US"/>
              </w:rPr>
            </w:pPr>
          </w:p>
        </w:tc>
      </w:tr>
      <w:tr w:rsidR="00DA2D01" w:rsidRPr="00944D26" w14:paraId="2613FEAD" w14:textId="77777777" w:rsidTr="00352B7D">
        <w:tc>
          <w:tcPr>
            <w:tcW w:w="8688" w:type="dxa"/>
            <w:tcBorders>
              <w:top w:val="nil"/>
              <w:left w:val="nil"/>
              <w:bottom w:val="nil"/>
              <w:right w:val="nil"/>
            </w:tcBorders>
            <w:shd w:val="clear" w:color="auto" w:fill="auto"/>
          </w:tcPr>
          <w:p w14:paraId="05D41638" w14:textId="77777777" w:rsidR="00DA2D01" w:rsidRPr="00944D26" w:rsidRDefault="00DA2D01" w:rsidP="00944D26">
            <w:pPr>
              <w:jc w:val="both"/>
              <w:rPr>
                <w:rFonts w:ascii="Arial" w:hAnsi="Arial" w:cs="Arial"/>
                <w:sz w:val="22"/>
                <w:szCs w:val="22"/>
                <w:lang w:val="en-US"/>
              </w:rPr>
            </w:pPr>
          </w:p>
        </w:tc>
        <w:tc>
          <w:tcPr>
            <w:tcW w:w="384" w:type="dxa"/>
            <w:tcBorders>
              <w:top w:val="single" w:sz="4" w:space="0" w:color="auto"/>
              <w:left w:val="nil"/>
              <w:bottom w:val="nil"/>
              <w:right w:val="nil"/>
            </w:tcBorders>
            <w:shd w:val="clear" w:color="auto" w:fill="auto"/>
          </w:tcPr>
          <w:p w14:paraId="34651CF0" w14:textId="77777777" w:rsidR="00DA2D01" w:rsidRPr="00944D26" w:rsidRDefault="00DA2D01" w:rsidP="00944D26">
            <w:pPr>
              <w:jc w:val="both"/>
              <w:rPr>
                <w:rFonts w:ascii="Arial" w:hAnsi="Arial" w:cs="Arial"/>
                <w:sz w:val="22"/>
                <w:szCs w:val="22"/>
                <w:lang w:val="en-US"/>
              </w:rPr>
            </w:pPr>
          </w:p>
        </w:tc>
      </w:tr>
      <w:tr w:rsidR="00DA2D01" w:rsidRPr="00513D3E" w14:paraId="5B928932" w14:textId="77777777" w:rsidTr="00352B7D">
        <w:tc>
          <w:tcPr>
            <w:tcW w:w="8688" w:type="dxa"/>
            <w:tcBorders>
              <w:top w:val="nil"/>
              <w:left w:val="nil"/>
              <w:bottom w:val="nil"/>
              <w:right w:val="nil"/>
            </w:tcBorders>
            <w:shd w:val="clear" w:color="auto" w:fill="auto"/>
          </w:tcPr>
          <w:p w14:paraId="681E045E" w14:textId="06C73DB7" w:rsidR="00DA2D01" w:rsidRPr="00513D3E" w:rsidRDefault="00DA2D01" w:rsidP="00E40E21">
            <w:pPr>
              <w:numPr>
                <w:ilvl w:val="0"/>
                <w:numId w:val="2"/>
              </w:numPr>
              <w:jc w:val="both"/>
              <w:rPr>
                <w:rFonts w:ascii="Arial" w:hAnsi="Arial" w:cs="Arial"/>
                <w:bCs/>
                <w:sz w:val="22"/>
                <w:szCs w:val="22"/>
              </w:rPr>
            </w:pPr>
            <w:bookmarkStart w:id="2" w:name="_Hlk16586159"/>
            <w:r w:rsidRPr="00513D3E">
              <w:rPr>
                <w:rFonts w:ascii="Arial" w:hAnsi="Arial"/>
                <w:bCs/>
                <w:sz w:val="22"/>
                <w:szCs w:val="22"/>
              </w:rPr>
              <w:t>Veiller à incorporer dans les</w:t>
            </w:r>
            <w:r w:rsidRPr="00513D3E">
              <w:rPr>
                <w:rFonts w:ascii="Arial" w:hAnsi="Arial"/>
                <w:b/>
                <w:bCs/>
                <w:sz w:val="22"/>
                <w:szCs w:val="22"/>
              </w:rPr>
              <w:t xml:space="preserve"> plans et activités de gestion des catastrophes et des situations d</w:t>
            </w:r>
            <w:r w:rsidR="00474C4A" w:rsidRPr="00513D3E">
              <w:rPr>
                <w:rFonts w:ascii="Arial" w:hAnsi="Arial"/>
                <w:b/>
                <w:bCs/>
                <w:sz w:val="22"/>
                <w:szCs w:val="22"/>
              </w:rPr>
              <w:t>’</w:t>
            </w:r>
            <w:r w:rsidRPr="00513D3E">
              <w:rPr>
                <w:rFonts w:ascii="Arial" w:hAnsi="Arial"/>
                <w:b/>
                <w:bCs/>
                <w:sz w:val="22"/>
                <w:szCs w:val="22"/>
              </w:rPr>
              <w:t>urgence</w:t>
            </w:r>
            <w:r w:rsidRPr="00513D3E">
              <w:rPr>
                <w:rFonts w:ascii="Arial" w:hAnsi="Arial"/>
                <w:bCs/>
                <w:sz w:val="22"/>
                <w:szCs w:val="22"/>
              </w:rPr>
              <w:t xml:space="preserve"> des mesures visant à prévenir et à combattre la violence sexuelle et sexiste, comme la mise en place de formations spécifiques à l</w:t>
            </w:r>
            <w:r w:rsidR="00474C4A" w:rsidRPr="00513D3E">
              <w:rPr>
                <w:rFonts w:ascii="Arial" w:hAnsi="Arial"/>
                <w:bCs/>
                <w:sz w:val="22"/>
                <w:szCs w:val="22"/>
              </w:rPr>
              <w:t>’</w:t>
            </w:r>
            <w:r w:rsidRPr="00513D3E">
              <w:rPr>
                <w:rFonts w:ascii="Arial" w:hAnsi="Arial"/>
                <w:bCs/>
                <w:sz w:val="22"/>
                <w:szCs w:val="22"/>
              </w:rPr>
              <w:t>intention du personnel chargé d</w:t>
            </w:r>
            <w:r w:rsidR="00474C4A" w:rsidRPr="00513D3E">
              <w:rPr>
                <w:rFonts w:ascii="Arial" w:hAnsi="Arial"/>
                <w:bCs/>
                <w:sz w:val="22"/>
                <w:szCs w:val="22"/>
              </w:rPr>
              <w:t>’</w:t>
            </w:r>
            <w:r w:rsidRPr="00513D3E">
              <w:rPr>
                <w:rFonts w:ascii="Arial" w:hAnsi="Arial"/>
                <w:bCs/>
                <w:sz w:val="22"/>
                <w:szCs w:val="22"/>
              </w:rPr>
              <w:t>intervenir dans les situations d</w:t>
            </w:r>
            <w:r w:rsidR="00474C4A" w:rsidRPr="00513D3E">
              <w:rPr>
                <w:rFonts w:ascii="Arial" w:hAnsi="Arial"/>
                <w:bCs/>
                <w:sz w:val="22"/>
                <w:szCs w:val="22"/>
              </w:rPr>
              <w:t>’</w:t>
            </w:r>
            <w:r w:rsidRPr="00513D3E">
              <w:rPr>
                <w:rFonts w:ascii="Arial" w:hAnsi="Arial"/>
                <w:bCs/>
                <w:sz w:val="22"/>
                <w:szCs w:val="22"/>
              </w:rPr>
              <w:t>urgence et de catastrophe, l</w:t>
            </w:r>
            <w:r w:rsidR="00474C4A" w:rsidRPr="00513D3E">
              <w:rPr>
                <w:rFonts w:ascii="Arial" w:hAnsi="Arial"/>
                <w:bCs/>
                <w:sz w:val="22"/>
                <w:szCs w:val="22"/>
              </w:rPr>
              <w:t>’</w:t>
            </w:r>
            <w:r w:rsidRPr="00513D3E">
              <w:rPr>
                <w:rFonts w:ascii="Arial" w:hAnsi="Arial"/>
                <w:bCs/>
                <w:sz w:val="22"/>
                <w:szCs w:val="22"/>
              </w:rPr>
              <w:t>intégration des femmes dans les équipes d</w:t>
            </w:r>
            <w:r w:rsidR="00474C4A" w:rsidRPr="00513D3E">
              <w:rPr>
                <w:rFonts w:ascii="Arial" w:hAnsi="Arial"/>
                <w:bCs/>
                <w:sz w:val="22"/>
                <w:szCs w:val="22"/>
              </w:rPr>
              <w:t>’</w:t>
            </w:r>
            <w:r w:rsidRPr="00513D3E">
              <w:rPr>
                <w:rFonts w:ascii="Arial" w:hAnsi="Arial"/>
                <w:bCs/>
                <w:sz w:val="22"/>
                <w:szCs w:val="22"/>
              </w:rPr>
              <w:t>intervention en cas de catastrophe ou d</w:t>
            </w:r>
            <w:r w:rsidR="00474C4A" w:rsidRPr="00513D3E">
              <w:rPr>
                <w:rFonts w:ascii="Arial" w:hAnsi="Arial"/>
                <w:bCs/>
                <w:sz w:val="22"/>
                <w:szCs w:val="22"/>
              </w:rPr>
              <w:t>’</w:t>
            </w:r>
            <w:r w:rsidRPr="00513D3E">
              <w:rPr>
                <w:rFonts w:ascii="Arial" w:hAnsi="Arial"/>
                <w:bCs/>
                <w:sz w:val="22"/>
                <w:szCs w:val="22"/>
              </w:rPr>
              <w:t>urgence et la participation des membres des communautés, en particulier des femmes, à la prise de décisions sur la gestion des risques de catastrophe,</w:t>
            </w:r>
            <w:r w:rsidRPr="00513D3E">
              <w:rPr>
                <w:rFonts w:ascii="Arial" w:hAnsi="Arial"/>
                <w:bCs/>
                <w:sz w:val="22"/>
                <w:szCs w:val="22"/>
                <w:u w:val="single"/>
              </w:rPr>
              <w:t xml:space="preserve"> et en particulier : </w:t>
            </w:r>
            <w:bookmarkEnd w:id="2"/>
          </w:p>
        </w:tc>
        <w:tc>
          <w:tcPr>
            <w:tcW w:w="384" w:type="dxa"/>
            <w:tcBorders>
              <w:top w:val="nil"/>
              <w:left w:val="nil"/>
              <w:bottom w:val="single" w:sz="4" w:space="0" w:color="auto"/>
              <w:right w:val="nil"/>
            </w:tcBorders>
            <w:shd w:val="clear" w:color="auto" w:fill="auto"/>
          </w:tcPr>
          <w:p w14:paraId="629A7BF6" w14:textId="77777777" w:rsidR="00DA2D01" w:rsidRPr="00513D3E" w:rsidRDefault="00DA2D01" w:rsidP="00944D26">
            <w:pPr>
              <w:jc w:val="both"/>
              <w:rPr>
                <w:rFonts w:ascii="Arial" w:hAnsi="Arial" w:cs="Arial"/>
                <w:bCs/>
                <w:sz w:val="22"/>
                <w:szCs w:val="22"/>
                <w:lang w:val="en-US"/>
              </w:rPr>
            </w:pPr>
          </w:p>
        </w:tc>
      </w:tr>
      <w:tr w:rsidR="005D47E2" w:rsidRPr="00944D26" w14:paraId="3A81F44A" w14:textId="77777777" w:rsidTr="00352B7D">
        <w:trPr>
          <w:trHeight w:val="698"/>
        </w:trPr>
        <w:tc>
          <w:tcPr>
            <w:tcW w:w="8688" w:type="dxa"/>
            <w:vMerge w:val="restart"/>
            <w:tcBorders>
              <w:top w:val="nil"/>
              <w:left w:val="nil"/>
              <w:right w:val="single" w:sz="4" w:space="0" w:color="auto"/>
            </w:tcBorders>
            <w:shd w:val="clear" w:color="auto" w:fill="auto"/>
          </w:tcPr>
          <w:p w14:paraId="433833DD" w14:textId="1455A879" w:rsidR="005D47E2" w:rsidRPr="00513D3E" w:rsidRDefault="005D47E2" w:rsidP="00E22BAF">
            <w:pPr>
              <w:numPr>
                <w:ilvl w:val="0"/>
                <w:numId w:val="5"/>
              </w:numPr>
              <w:overflowPunct/>
              <w:ind w:left="1058"/>
              <w:jc w:val="both"/>
              <w:textAlignment w:val="auto"/>
              <w:rPr>
                <w:rFonts w:ascii="Arial" w:hAnsi="Arial" w:cs="Arial"/>
              </w:rPr>
            </w:pPr>
            <w:r w:rsidRPr="00513D3E">
              <w:rPr>
                <w:rFonts w:ascii="Arial" w:hAnsi="Arial"/>
              </w:rPr>
              <w:t>Assurer l</w:t>
            </w:r>
            <w:r w:rsidR="00474C4A" w:rsidRPr="00513D3E">
              <w:rPr>
                <w:rFonts w:ascii="Arial" w:hAnsi="Arial"/>
              </w:rPr>
              <w:t>’</w:t>
            </w:r>
            <w:r w:rsidRPr="00513D3E">
              <w:rPr>
                <w:rFonts w:ascii="Arial" w:hAnsi="Arial"/>
              </w:rPr>
              <w:t>accès de toutes les personnes aux services</w:t>
            </w:r>
            <w:r w:rsidR="00E46B1A">
              <w:rPr>
                <w:rFonts w:ascii="Arial" w:hAnsi="Arial"/>
              </w:rPr>
              <w:t>,</w:t>
            </w:r>
            <w:r w:rsidRPr="00513D3E">
              <w:rPr>
                <w:rFonts w:ascii="Arial" w:hAnsi="Arial"/>
              </w:rPr>
              <w:t xml:space="preserve"> dans les plans et activités de gestion des catastrophes et des situations d</w:t>
            </w:r>
            <w:r w:rsidR="00474C4A" w:rsidRPr="00513D3E">
              <w:rPr>
                <w:rFonts w:ascii="Arial" w:hAnsi="Arial"/>
              </w:rPr>
              <w:t>’</w:t>
            </w:r>
            <w:r w:rsidRPr="00513D3E">
              <w:rPr>
                <w:rFonts w:ascii="Arial" w:hAnsi="Arial"/>
              </w:rPr>
              <w:t xml:space="preserve">urgence, et modifier tout plan, activité ou pratique </w:t>
            </w:r>
            <w:r w:rsidR="007E43D2" w:rsidRPr="00513D3E">
              <w:rPr>
                <w:rFonts w:ascii="Arial" w:hAnsi="Arial"/>
              </w:rPr>
              <w:t>conduisant à des discriminations ou à l’exclusion</w:t>
            </w:r>
            <w:r w:rsidRPr="00513D3E">
              <w:rPr>
                <w:rFonts w:ascii="Arial" w:hAnsi="Arial"/>
              </w:rPr>
              <w:t>, à des risques d</w:t>
            </w:r>
            <w:r w:rsidR="00474C4A" w:rsidRPr="00513D3E">
              <w:rPr>
                <w:rFonts w:ascii="Arial" w:hAnsi="Arial"/>
              </w:rPr>
              <w:t>’</w:t>
            </w:r>
            <w:r w:rsidRPr="00513D3E">
              <w:rPr>
                <w:rFonts w:ascii="Arial" w:hAnsi="Arial"/>
              </w:rPr>
              <w:t>exploitation ou à d</w:t>
            </w:r>
            <w:r w:rsidR="00474C4A" w:rsidRPr="00513D3E">
              <w:rPr>
                <w:rFonts w:ascii="Arial" w:hAnsi="Arial"/>
              </w:rPr>
              <w:t>’</w:t>
            </w:r>
            <w:r w:rsidRPr="00513D3E">
              <w:rPr>
                <w:rFonts w:ascii="Arial" w:hAnsi="Arial"/>
              </w:rPr>
              <w:t>autres préjudices.</w:t>
            </w:r>
          </w:p>
          <w:p w14:paraId="73FBA10D" w14:textId="09E5FDB9" w:rsidR="005D47E2" w:rsidRPr="00513D3E" w:rsidRDefault="005D47E2" w:rsidP="000E25B5">
            <w:pPr>
              <w:numPr>
                <w:ilvl w:val="0"/>
                <w:numId w:val="5"/>
              </w:numPr>
              <w:overflowPunct/>
              <w:ind w:left="1058"/>
              <w:jc w:val="both"/>
              <w:textAlignment w:val="auto"/>
              <w:rPr>
                <w:rFonts w:ascii="Arial" w:hAnsi="Arial" w:cs="Arial"/>
              </w:rPr>
            </w:pPr>
            <w:r w:rsidRPr="00513D3E">
              <w:rPr>
                <w:rFonts w:ascii="Arial" w:hAnsi="Arial"/>
                <w:bCs/>
              </w:rPr>
              <w:t xml:space="preserve">Assurer la participation équitable des femmes aux organes de gouvernance et aux comités de </w:t>
            </w:r>
            <w:r w:rsidR="009D6AF9">
              <w:rPr>
                <w:rFonts w:ascii="Arial" w:hAnsi="Arial"/>
                <w:bCs/>
              </w:rPr>
              <w:t>direction</w:t>
            </w:r>
            <w:r w:rsidRPr="00513D3E">
              <w:rPr>
                <w:rFonts w:ascii="Arial" w:hAnsi="Arial"/>
                <w:bCs/>
              </w:rPr>
              <w:t xml:space="preserve"> des systèmes de gestion des risques de catastrophe.</w:t>
            </w:r>
          </w:p>
          <w:p w14:paraId="463A186D" w14:textId="7D4F779F" w:rsidR="005D47E2" w:rsidRPr="00513D3E" w:rsidRDefault="005D47E2" w:rsidP="000E25B5">
            <w:pPr>
              <w:numPr>
                <w:ilvl w:val="0"/>
                <w:numId w:val="5"/>
              </w:numPr>
              <w:overflowPunct/>
              <w:ind w:left="1058"/>
              <w:jc w:val="both"/>
              <w:textAlignment w:val="auto"/>
              <w:rPr>
                <w:rFonts w:ascii="Arial" w:hAnsi="Arial" w:cs="Arial"/>
              </w:rPr>
            </w:pPr>
            <w:r w:rsidRPr="00513D3E">
              <w:rPr>
                <w:rFonts w:ascii="Arial" w:hAnsi="Arial"/>
              </w:rPr>
              <w:t>Solliciter les</w:t>
            </w:r>
            <w:r w:rsidRPr="00513D3E">
              <w:rPr>
                <w:rFonts w:ascii="Arial" w:hAnsi="Arial"/>
                <w:b/>
              </w:rPr>
              <w:t xml:space="preserve"> Sociétés nationales de la Croix-Rouge et du Croissant-Rouge </w:t>
            </w:r>
            <w:r w:rsidRPr="00513D3E">
              <w:rPr>
                <w:rFonts w:ascii="Arial" w:hAnsi="Arial"/>
              </w:rPr>
              <w:t>et</w:t>
            </w:r>
            <w:r w:rsidRPr="00513D3E">
              <w:rPr>
                <w:rFonts w:ascii="Arial" w:hAnsi="Arial"/>
                <w:b/>
              </w:rPr>
              <w:t xml:space="preserve"> </w:t>
            </w:r>
            <w:r w:rsidRPr="00513D3E">
              <w:rPr>
                <w:rFonts w:ascii="Arial" w:hAnsi="Arial"/>
              </w:rPr>
              <w:t>la</w:t>
            </w:r>
            <w:r w:rsidRPr="00513D3E">
              <w:rPr>
                <w:rFonts w:ascii="Arial" w:hAnsi="Arial"/>
                <w:b/>
              </w:rPr>
              <w:t xml:space="preserve"> </w:t>
            </w:r>
            <w:r w:rsidRPr="00513D3E">
              <w:rPr>
                <w:rFonts w:ascii="Arial" w:hAnsi="Arial"/>
              </w:rPr>
              <w:t>Fédération internationale</w:t>
            </w:r>
            <w:r w:rsidRPr="00513D3E">
              <w:rPr>
                <w:rFonts w:ascii="Arial" w:hAnsi="Arial"/>
                <w:bCs/>
              </w:rPr>
              <w:t xml:space="preserve">, en particulier </w:t>
            </w:r>
            <w:r w:rsidRPr="00513D3E">
              <w:rPr>
                <w:rFonts w:ascii="Arial" w:hAnsi="Arial"/>
                <w:b/>
              </w:rPr>
              <w:t>les délégués/coordonnateurs</w:t>
            </w:r>
            <w:r w:rsidRPr="00513D3E">
              <w:rPr>
                <w:rFonts w:ascii="Arial" w:hAnsi="Arial"/>
                <w:b/>
                <w:bCs/>
              </w:rPr>
              <w:t xml:space="preserve"> chargés des questions de protection, de genre et d</w:t>
            </w:r>
            <w:r w:rsidR="00474C4A" w:rsidRPr="00513D3E">
              <w:rPr>
                <w:rFonts w:ascii="Arial" w:hAnsi="Arial"/>
                <w:b/>
                <w:bCs/>
              </w:rPr>
              <w:t>’</w:t>
            </w:r>
            <w:r w:rsidRPr="00513D3E">
              <w:rPr>
                <w:rFonts w:ascii="Arial" w:hAnsi="Arial"/>
                <w:b/>
                <w:bCs/>
              </w:rPr>
              <w:t>intégration</w:t>
            </w:r>
            <w:r w:rsidRPr="00513D3E">
              <w:rPr>
                <w:rFonts w:ascii="Arial" w:hAnsi="Arial"/>
                <w:bCs/>
              </w:rPr>
              <w:t>,</w:t>
            </w:r>
            <w:r w:rsidRPr="00513D3E">
              <w:rPr>
                <w:rFonts w:ascii="Arial" w:hAnsi="Arial"/>
                <w:b/>
              </w:rPr>
              <w:t xml:space="preserve"> </w:t>
            </w:r>
            <w:r w:rsidRPr="00513D3E">
              <w:rPr>
                <w:rFonts w:ascii="Arial" w:hAnsi="Arial"/>
              </w:rPr>
              <w:t>pour développer et renforcer les capacités des institutions nationales en matière de prévention et de lutte contre la violence sexuelle et sexiste, et investir dans la formation et dans le renforcement des compétences locales et des initiatives communautaires</w:t>
            </w:r>
            <w:r w:rsidR="00886B4A" w:rsidRPr="00513D3E">
              <w:rPr>
                <w:rFonts w:ascii="Arial" w:hAnsi="Arial"/>
              </w:rPr>
              <w:t>.</w:t>
            </w:r>
          </w:p>
        </w:tc>
        <w:tc>
          <w:tcPr>
            <w:tcW w:w="384" w:type="dxa"/>
            <w:tcBorders>
              <w:top w:val="single" w:sz="4" w:space="0" w:color="auto"/>
              <w:left w:val="single" w:sz="4" w:space="0" w:color="auto"/>
              <w:right w:val="single" w:sz="4" w:space="0" w:color="auto"/>
            </w:tcBorders>
            <w:shd w:val="clear" w:color="auto" w:fill="DEEAF6"/>
          </w:tcPr>
          <w:p w14:paraId="3DC7F154" w14:textId="77777777" w:rsidR="005D47E2" w:rsidRPr="00944D26" w:rsidRDefault="005D47E2" w:rsidP="00944D26">
            <w:pPr>
              <w:overflowPunct/>
              <w:jc w:val="both"/>
              <w:textAlignment w:val="auto"/>
              <w:rPr>
                <w:rFonts w:ascii="Arial" w:hAnsi="Arial" w:cs="Arial"/>
                <w:bCs/>
                <w:sz w:val="22"/>
                <w:szCs w:val="22"/>
                <w:lang w:val="en-US"/>
              </w:rPr>
            </w:pPr>
          </w:p>
        </w:tc>
      </w:tr>
      <w:tr w:rsidR="005D47E2" w:rsidRPr="00944D26" w14:paraId="0F955DD9" w14:textId="77777777" w:rsidTr="00352B7D">
        <w:trPr>
          <w:trHeight w:val="488"/>
        </w:trPr>
        <w:tc>
          <w:tcPr>
            <w:tcW w:w="8688" w:type="dxa"/>
            <w:vMerge/>
            <w:tcBorders>
              <w:left w:val="nil"/>
              <w:right w:val="single" w:sz="4" w:space="0" w:color="auto"/>
            </w:tcBorders>
            <w:shd w:val="clear" w:color="auto" w:fill="auto"/>
          </w:tcPr>
          <w:p w14:paraId="26858D61" w14:textId="77777777" w:rsidR="005D47E2" w:rsidRDefault="005D47E2" w:rsidP="00CF0942">
            <w:pPr>
              <w:numPr>
                <w:ilvl w:val="0"/>
                <w:numId w:val="5"/>
              </w:numPr>
              <w:overflowPunct/>
              <w:ind w:left="1058"/>
              <w:jc w:val="both"/>
              <w:textAlignment w:val="auto"/>
              <w:rPr>
                <w:rFonts w:ascii="Arial" w:hAnsi="Arial" w:cs="Arial"/>
                <w:bCs/>
                <w:lang w:val="en-US"/>
              </w:rPr>
            </w:pPr>
          </w:p>
        </w:tc>
        <w:tc>
          <w:tcPr>
            <w:tcW w:w="384" w:type="dxa"/>
            <w:tcBorders>
              <w:top w:val="single" w:sz="4" w:space="0" w:color="auto"/>
              <w:left w:val="single" w:sz="4" w:space="0" w:color="auto"/>
              <w:bottom w:val="single" w:sz="4" w:space="0" w:color="auto"/>
              <w:right w:val="single" w:sz="4" w:space="0" w:color="auto"/>
            </w:tcBorders>
            <w:shd w:val="clear" w:color="auto" w:fill="DEEAF6"/>
          </w:tcPr>
          <w:p w14:paraId="6C8D9B8D" w14:textId="77777777" w:rsidR="005D47E2" w:rsidRPr="00944D26" w:rsidRDefault="005D47E2" w:rsidP="00944D26">
            <w:pPr>
              <w:overflowPunct/>
              <w:jc w:val="both"/>
              <w:textAlignment w:val="auto"/>
              <w:rPr>
                <w:rFonts w:ascii="Arial" w:hAnsi="Arial" w:cs="Arial"/>
                <w:bCs/>
                <w:sz w:val="22"/>
                <w:szCs w:val="22"/>
                <w:lang w:val="en-US"/>
              </w:rPr>
            </w:pPr>
          </w:p>
        </w:tc>
      </w:tr>
      <w:tr w:rsidR="005D47E2" w:rsidRPr="00944D26" w14:paraId="07FD049F" w14:textId="77777777" w:rsidTr="00352B7D">
        <w:trPr>
          <w:trHeight w:val="795"/>
        </w:trPr>
        <w:tc>
          <w:tcPr>
            <w:tcW w:w="8688" w:type="dxa"/>
            <w:vMerge/>
            <w:tcBorders>
              <w:left w:val="nil"/>
              <w:bottom w:val="nil"/>
              <w:right w:val="single" w:sz="4" w:space="0" w:color="auto"/>
            </w:tcBorders>
            <w:shd w:val="clear" w:color="auto" w:fill="auto"/>
          </w:tcPr>
          <w:p w14:paraId="0A883F3C" w14:textId="77777777" w:rsidR="005D47E2" w:rsidRDefault="005D47E2" w:rsidP="00CF0942">
            <w:pPr>
              <w:numPr>
                <w:ilvl w:val="0"/>
                <w:numId w:val="5"/>
              </w:numPr>
              <w:overflowPunct/>
              <w:ind w:left="1058"/>
              <w:jc w:val="both"/>
              <w:textAlignment w:val="auto"/>
              <w:rPr>
                <w:rFonts w:ascii="Arial" w:hAnsi="Arial" w:cs="Arial"/>
                <w:bCs/>
                <w:lang w:val="en-US"/>
              </w:rPr>
            </w:pPr>
          </w:p>
        </w:tc>
        <w:tc>
          <w:tcPr>
            <w:tcW w:w="384" w:type="dxa"/>
            <w:tcBorders>
              <w:top w:val="single" w:sz="4" w:space="0" w:color="auto"/>
              <w:left w:val="single" w:sz="4" w:space="0" w:color="auto"/>
              <w:bottom w:val="single" w:sz="4" w:space="0" w:color="auto"/>
              <w:right w:val="single" w:sz="4" w:space="0" w:color="auto"/>
            </w:tcBorders>
            <w:shd w:val="clear" w:color="auto" w:fill="DEEAF6"/>
          </w:tcPr>
          <w:p w14:paraId="27EE9CAB" w14:textId="77777777" w:rsidR="005D47E2" w:rsidRPr="00944D26" w:rsidRDefault="005D47E2" w:rsidP="00944D26">
            <w:pPr>
              <w:overflowPunct/>
              <w:jc w:val="both"/>
              <w:textAlignment w:val="auto"/>
              <w:rPr>
                <w:rFonts w:ascii="Arial" w:hAnsi="Arial" w:cs="Arial"/>
                <w:bCs/>
                <w:sz w:val="22"/>
                <w:szCs w:val="22"/>
                <w:lang w:val="en-US"/>
              </w:rPr>
            </w:pPr>
          </w:p>
        </w:tc>
      </w:tr>
    </w:tbl>
    <w:p w14:paraId="421DD499" w14:textId="77777777" w:rsidR="00964BD8" w:rsidRPr="001217C0" w:rsidRDefault="00964BD8" w:rsidP="00165778">
      <w:pPr>
        <w:pStyle w:val="Indent1"/>
        <w:rPr>
          <w:rFonts w:ascii="Arial" w:hAnsi="Arial" w:cs="Arial"/>
          <w:bCs/>
          <w:sz w:val="22"/>
          <w:szCs w:val="22"/>
          <w:lang w:val="en-US"/>
        </w:rPr>
      </w:pPr>
    </w:p>
    <w:p w14:paraId="0D71D53D" w14:textId="77777777" w:rsidR="00314A48" w:rsidRPr="001217C0" w:rsidRDefault="004D34DE" w:rsidP="00E22BAF">
      <w:pPr>
        <w:pStyle w:val="Indent1"/>
        <w:numPr>
          <w:ilvl w:val="0"/>
          <w:numId w:val="1"/>
        </w:numPr>
        <w:tabs>
          <w:tab w:val="clear" w:pos="396"/>
          <w:tab w:val="clear" w:pos="741"/>
          <w:tab w:val="left" w:pos="0"/>
          <w:tab w:val="left" w:pos="426"/>
          <w:tab w:val="left" w:pos="1418"/>
        </w:tabs>
        <w:ind w:hanging="720"/>
        <w:rPr>
          <w:rFonts w:ascii="Arial" w:hAnsi="Arial" w:cs="Arial"/>
          <w:bCs/>
          <w:i/>
          <w:sz w:val="22"/>
          <w:szCs w:val="22"/>
        </w:rPr>
      </w:pPr>
      <w:r>
        <w:rPr>
          <w:rFonts w:ascii="Arial" w:hAnsi="Arial"/>
          <w:bCs/>
          <w:i/>
          <w:sz w:val="22"/>
          <w:szCs w:val="22"/>
        </w:rPr>
        <w:t>Indicateurs de mesure des progrès accomplis</w:t>
      </w:r>
    </w:p>
    <w:p w14:paraId="630E4EF6" w14:textId="77777777" w:rsidR="00B20991" w:rsidRPr="001217C0" w:rsidRDefault="00B20991" w:rsidP="00435652">
      <w:pPr>
        <w:pStyle w:val="Indent1"/>
        <w:tabs>
          <w:tab w:val="clear" w:pos="396"/>
        </w:tabs>
        <w:ind w:left="0" w:firstLine="0"/>
        <w:rPr>
          <w:rFonts w:ascii="Arial" w:hAnsi="Arial" w:cs="Arial"/>
          <w:i/>
          <w:sz w:val="22"/>
          <w:szCs w:val="22"/>
          <w:lang w:val="en-US"/>
        </w:rPr>
      </w:pPr>
    </w:p>
    <w:p w14:paraId="36F83059" w14:textId="0FD6B173" w:rsidR="00483FA4" w:rsidRPr="001217C0" w:rsidRDefault="00B20991" w:rsidP="00E22BAF">
      <w:pPr>
        <w:pStyle w:val="Indent1"/>
        <w:numPr>
          <w:ilvl w:val="0"/>
          <w:numId w:val="6"/>
        </w:numPr>
        <w:tabs>
          <w:tab w:val="clear" w:pos="396"/>
        </w:tabs>
        <w:rPr>
          <w:rFonts w:ascii="Arial" w:hAnsi="Arial" w:cs="Arial"/>
          <w:sz w:val="22"/>
          <w:szCs w:val="22"/>
        </w:rPr>
      </w:pPr>
      <w:r>
        <w:rPr>
          <w:rFonts w:ascii="Arial" w:hAnsi="Arial"/>
          <w:sz w:val="22"/>
          <w:szCs w:val="22"/>
        </w:rPr>
        <w:t xml:space="preserve">Nombre de dispositions juridiques, politiques ou procédures nationales établies ou modifiées </w:t>
      </w:r>
      <w:r w:rsidR="001E7B5B">
        <w:rPr>
          <w:rFonts w:ascii="Arial" w:hAnsi="Arial"/>
          <w:sz w:val="22"/>
          <w:szCs w:val="22"/>
        </w:rPr>
        <w:t>dans le domaine de la</w:t>
      </w:r>
      <w:r>
        <w:rPr>
          <w:rFonts w:ascii="Arial" w:hAnsi="Arial"/>
          <w:sz w:val="22"/>
          <w:szCs w:val="22"/>
        </w:rPr>
        <w:t xml:space="preserve"> violence sexuelle et sexiste.</w:t>
      </w:r>
    </w:p>
    <w:p w14:paraId="7D11AE30" w14:textId="4DA9D939" w:rsidR="001F6397" w:rsidRPr="00412E54" w:rsidRDefault="001F6397" w:rsidP="00E22BAF">
      <w:pPr>
        <w:pStyle w:val="Indent1"/>
        <w:numPr>
          <w:ilvl w:val="0"/>
          <w:numId w:val="6"/>
        </w:numPr>
        <w:tabs>
          <w:tab w:val="clear" w:pos="396"/>
        </w:tabs>
        <w:rPr>
          <w:rFonts w:ascii="Arial" w:hAnsi="Arial" w:cs="Arial"/>
          <w:sz w:val="22"/>
          <w:szCs w:val="22"/>
        </w:rPr>
      </w:pPr>
      <w:r>
        <w:rPr>
          <w:rFonts w:ascii="Arial" w:hAnsi="Arial"/>
          <w:sz w:val="22"/>
          <w:szCs w:val="22"/>
        </w:rPr>
        <w:t>Nombre de plans d</w:t>
      </w:r>
      <w:r w:rsidR="00474C4A">
        <w:rPr>
          <w:rFonts w:ascii="Arial" w:hAnsi="Arial"/>
          <w:sz w:val="22"/>
          <w:szCs w:val="22"/>
        </w:rPr>
        <w:t>’</w:t>
      </w:r>
      <w:r>
        <w:rPr>
          <w:rFonts w:ascii="Arial" w:hAnsi="Arial"/>
          <w:sz w:val="22"/>
          <w:szCs w:val="22"/>
        </w:rPr>
        <w:t>urgence</w:t>
      </w:r>
      <w:r w:rsidR="00EC4EA1">
        <w:rPr>
          <w:rFonts w:ascii="Arial" w:hAnsi="Arial"/>
          <w:sz w:val="22"/>
          <w:szCs w:val="22"/>
        </w:rPr>
        <w:t xml:space="preserve"> établis ou modifiés pour </w:t>
      </w:r>
      <w:r>
        <w:rPr>
          <w:rFonts w:ascii="Arial" w:hAnsi="Arial"/>
          <w:sz w:val="22"/>
          <w:szCs w:val="22"/>
        </w:rPr>
        <w:t>assurer la continuité des services de prévention et de lutte contre la violence sexuelle et sexiste dans les situations de catastrophe.</w:t>
      </w:r>
    </w:p>
    <w:p w14:paraId="2A546ADD" w14:textId="542D16CB" w:rsidR="0054662F" w:rsidRPr="00412E54" w:rsidRDefault="0054662F" w:rsidP="00E22BAF">
      <w:pPr>
        <w:numPr>
          <w:ilvl w:val="0"/>
          <w:numId w:val="6"/>
        </w:numPr>
        <w:rPr>
          <w:rFonts w:ascii="Arial" w:hAnsi="Arial" w:cs="Arial"/>
          <w:sz w:val="22"/>
          <w:szCs w:val="22"/>
        </w:rPr>
      </w:pPr>
      <w:r>
        <w:rPr>
          <w:rFonts w:ascii="Arial" w:hAnsi="Arial"/>
          <w:sz w:val="22"/>
          <w:szCs w:val="22"/>
        </w:rPr>
        <w:t>Nombre de formations mises en place ou améliorées sur la violence sexuelle et sexiste à l</w:t>
      </w:r>
      <w:r w:rsidR="00474C4A">
        <w:rPr>
          <w:rFonts w:ascii="Arial" w:hAnsi="Arial"/>
          <w:sz w:val="22"/>
          <w:szCs w:val="22"/>
        </w:rPr>
        <w:t>’</w:t>
      </w:r>
      <w:r>
        <w:rPr>
          <w:rFonts w:ascii="Arial" w:hAnsi="Arial"/>
          <w:sz w:val="22"/>
          <w:szCs w:val="22"/>
        </w:rPr>
        <w:t>intention des législateurs, des procureurs ou des juges.</w:t>
      </w:r>
    </w:p>
    <w:p w14:paraId="03946AD8" w14:textId="4F6797EE" w:rsidR="000C54F1" w:rsidRPr="00412E54" w:rsidRDefault="00B20991" w:rsidP="00E22BAF">
      <w:pPr>
        <w:pStyle w:val="Indent1"/>
        <w:numPr>
          <w:ilvl w:val="0"/>
          <w:numId w:val="6"/>
        </w:numPr>
        <w:tabs>
          <w:tab w:val="clear" w:pos="396"/>
        </w:tabs>
        <w:rPr>
          <w:rFonts w:ascii="Arial" w:hAnsi="Arial" w:cs="Arial"/>
          <w:sz w:val="22"/>
          <w:szCs w:val="22"/>
        </w:rPr>
      </w:pPr>
      <w:r>
        <w:rPr>
          <w:rFonts w:ascii="Arial" w:hAnsi="Arial"/>
          <w:sz w:val="22"/>
          <w:szCs w:val="22"/>
        </w:rPr>
        <w:t>Nombre d</w:t>
      </w:r>
      <w:r w:rsidR="00474C4A">
        <w:rPr>
          <w:rFonts w:ascii="Arial" w:hAnsi="Arial"/>
          <w:sz w:val="22"/>
          <w:szCs w:val="22"/>
        </w:rPr>
        <w:t>’</w:t>
      </w:r>
      <w:r>
        <w:rPr>
          <w:rFonts w:ascii="Arial" w:hAnsi="Arial"/>
          <w:sz w:val="22"/>
          <w:szCs w:val="22"/>
        </w:rPr>
        <w:t>améliorations dans l</w:t>
      </w:r>
      <w:r w:rsidR="00474C4A">
        <w:rPr>
          <w:rFonts w:ascii="Arial" w:hAnsi="Arial"/>
          <w:sz w:val="22"/>
          <w:szCs w:val="22"/>
        </w:rPr>
        <w:t>’</w:t>
      </w:r>
      <w:r>
        <w:rPr>
          <w:rFonts w:ascii="Arial" w:hAnsi="Arial"/>
          <w:sz w:val="22"/>
          <w:szCs w:val="22"/>
        </w:rPr>
        <w:t>intégration de la question de la violence sexuelle dans les programmes d</w:t>
      </w:r>
      <w:r w:rsidR="00474C4A">
        <w:rPr>
          <w:rFonts w:ascii="Arial" w:hAnsi="Arial"/>
          <w:sz w:val="22"/>
          <w:szCs w:val="22"/>
        </w:rPr>
        <w:t>’</w:t>
      </w:r>
      <w:r>
        <w:rPr>
          <w:rFonts w:ascii="Arial" w:hAnsi="Arial"/>
          <w:sz w:val="22"/>
          <w:szCs w:val="22"/>
        </w:rPr>
        <w:t>instruction et/ou les codes de conduite des forces armées et de sécurité et des autorités détentrices.</w:t>
      </w:r>
    </w:p>
    <w:p w14:paraId="6FD389AD" w14:textId="294693FC" w:rsidR="000C54F1" w:rsidRPr="00412E54" w:rsidRDefault="000C54F1" w:rsidP="00E22BAF">
      <w:pPr>
        <w:pStyle w:val="Indent1"/>
        <w:numPr>
          <w:ilvl w:val="0"/>
          <w:numId w:val="6"/>
        </w:numPr>
        <w:tabs>
          <w:tab w:val="clear" w:pos="396"/>
        </w:tabs>
        <w:rPr>
          <w:rFonts w:ascii="Arial" w:hAnsi="Arial" w:cs="Arial"/>
          <w:sz w:val="22"/>
          <w:szCs w:val="22"/>
        </w:rPr>
      </w:pPr>
      <w:r>
        <w:rPr>
          <w:rFonts w:ascii="Arial" w:hAnsi="Arial"/>
          <w:sz w:val="22"/>
          <w:szCs w:val="22"/>
        </w:rPr>
        <w:t>Nombre de réunions d</w:t>
      </w:r>
      <w:r w:rsidR="00474C4A">
        <w:rPr>
          <w:rFonts w:ascii="Arial" w:hAnsi="Arial"/>
          <w:sz w:val="22"/>
          <w:szCs w:val="22"/>
        </w:rPr>
        <w:t>’</w:t>
      </w:r>
      <w:r>
        <w:rPr>
          <w:rFonts w:ascii="Arial" w:hAnsi="Arial"/>
          <w:sz w:val="22"/>
          <w:szCs w:val="22"/>
        </w:rPr>
        <w:t xml:space="preserve">experts organisées au sein des forces armées et de sécurité et/ou des autorités détentrices. </w:t>
      </w:r>
    </w:p>
    <w:p w14:paraId="6F0CB4EF" w14:textId="1C613D3F" w:rsidR="001F6397" w:rsidRPr="00B440DF" w:rsidRDefault="00457749" w:rsidP="009D3FC4">
      <w:pPr>
        <w:pStyle w:val="Indent1"/>
        <w:numPr>
          <w:ilvl w:val="0"/>
          <w:numId w:val="6"/>
        </w:numPr>
        <w:tabs>
          <w:tab w:val="clear" w:pos="396"/>
        </w:tabs>
        <w:rPr>
          <w:rFonts w:ascii="Arial" w:hAnsi="Arial" w:cs="Arial"/>
          <w:sz w:val="22"/>
          <w:szCs w:val="22"/>
        </w:rPr>
      </w:pPr>
      <w:r>
        <w:rPr>
          <w:rFonts w:ascii="Arial" w:hAnsi="Arial"/>
          <w:sz w:val="22"/>
          <w:szCs w:val="22"/>
        </w:rPr>
        <w:lastRenderedPageBreak/>
        <w:t>Nombre d</w:t>
      </w:r>
      <w:r w:rsidR="00474C4A">
        <w:rPr>
          <w:rFonts w:ascii="Arial" w:hAnsi="Arial"/>
          <w:sz w:val="22"/>
          <w:szCs w:val="22"/>
        </w:rPr>
        <w:t>’</w:t>
      </w:r>
      <w:r>
        <w:rPr>
          <w:rFonts w:ascii="Arial" w:hAnsi="Arial"/>
          <w:sz w:val="22"/>
          <w:szCs w:val="22"/>
        </w:rPr>
        <w:t>obstacles empêchant l</w:t>
      </w:r>
      <w:r w:rsidR="009D3FC4">
        <w:rPr>
          <w:rFonts w:ascii="Arial" w:hAnsi="Arial"/>
          <w:sz w:val="22"/>
          <w:szCs w:val="22"/>
        </w:rPr>
        <w:t>’</w:t>
      </w:r>
      <w:r>
        <w:rPr>
          <w:rFonts w:ascii="Arial" w:hAnsi="Arial"/>
          <w:sz w:val="22"/>
          <w:szCs w:val="22"/>
        </w:rPr>
        <w:t xml:space="preserve">accès aux services </w:t>
      </w:r>
      <w:r w:rsidR="009D3FC4">
        <w:rPr>
          <w:rFonts w:ascii="Arial" w:hAnsi="Arial"/>
          <w:sz w:val="22"/>
          <w:szCs w:val="22"/>
        </w:rPr>
        <w:t xml:space="preserve">des victimes/survivants </w:t>
      </w:r>
      <w:r w:rsidR="009D3FC4" w:rsidRPr="009D3FC4">
        <w:rPr>
          <w:rFonts w:ascii="Arial" w:hAnsi="Arial"/>
          <w:sz w:val="22"/>
          <w:szCs w:val="22"/>
        </w:rPr>
        <w:t xml:space="preserve">éliminés </w:t>
      </w:r>
      <w:r>
        <w:rPr>
          <w:rFonts w:ascii="Arial" w:hAnsi="Arial"/>
          <w:sz w:val="22"/>
          <w:szCs w:val="22"/>
        </w:rPr>
        <w:t xml:space="preserve">[y compris </w:t>
      </w:r>
      <w:r w:rsidR="009D3FC4">
        <w:rPr>
          <w:rFonts w:ascii="Arial" w:hAnsi="Arial"/>
          <w:sz w:val="22"/>
          <w:szCs w:val="22"/>
        </w:rPr>
        <w:t xml:space="preserve">les </w:t>
      </w:r>
      <w:r>
        <w:rPr>
          <w:rFonts w:ascii="Arial" w:hAnsi="Arial"/>
          <w:sz w:val="22"/>
          <w:szCs w:val="22"/>
        </w:rPr>
        <w:t xml:space="preserve">obligations de signaler les actes à la police comme condition préalable pour pouvoir bénéficier </w:t>
      </w:r>
      <w:r w:rsidR="00A266EC">
        <w:rPr>
          <w:rFonts w:ascii="Arial" w:hAnsi="Arial"/>
          <w:sz w:val="22"/>
          <w:szCs w:val="22"/>
        </w:rPr>
        <w:t>de soins médicaux</w:t>
      </w:r>
      <w:r>
        <w:rPr>
          <w:rFonts w:ascii="Arial" w:hAnsi="Arial"/>
          <w:sz w:val="22"/>
          <w:szCs w:val="22"/>
        </w:rPr>
        <w:t>].</w:t>
      </w:r>
    </w:p>
    <w:p w14:paraId="5586236B" w14:textId="49735E4D" w:rsidR="00F224E5" w:rsidRPr="00412E54" w:rsidRDefault="00322598" w:rsidP="00E22BAF">
      <w:pPr>
        <w:pStyle w:val="Indent1"/>
        <w:numPr>
          <w:ilvl w:val="0"/>
          <w:numId w:val="6"/>
        </w:numPr>
        <w:tabs>
          <w:tab w:val="clear" w:pos="396"/>
        </w:tabs>
        <w:rPr>
          <w:rFonts w:ascii="Arial" w:hAnsi="Arial" w:cs="Arial"/>
          <w:i/>
          <w:iCs/>
          <w:sz w:val="22"/>
          <w:szCs w:val="22"/>
        </w:rPr>
      </w:pPr>
      <w:r>
        <w:rPr>
          <w:rFonts w:ascii="Arial" w:hAnsi="Arial"/>
          <w:sz w:val="22"/>
          <w:szCs w:val="22"/>
        </w:rPr>
        <w:t>Nombre de plans et d</w:t>
      </w:r>
      <w:r w:rsidR="00474C4A">
        <w:rPr>
          <w:rFonts w:ascii="Arial" w:hAnsi="Arial"/>
          <w:sz w:val="22"/>
          <w:szCs w:val="22"/>
        </w:rPr>
        <w:t>’</w:t>
      </w:r>
      <w:r>
        <w:rPr>
          <w:rFonts w:ascii="Arial" w:hAnsi="Arial"/>
          <w:sz w:val="22"/>
          <w:szCs w:val="22"/>
        </w:rPr>
        <w:t>activités de gestion des catastrophes et des situations d</w:t>
      </w:r>
      <w:r w:rsidR="00474C4A">
        <w:rPr>
          <w:rFonts w:ascii="Arial" w:hAnsi="Arial"/>
          <w:sz w:val="22"/>
          <w:szCs w:val="22"/>
        </w:rPr>
        <w:t>’</w:t>
      </w:r>
      <w:r>
        <w:rPr>
          <w:rFonts w:ascii="Arial" w:hAnsi="Arial"/>
          <w:sz w:val="22"/>
          <w:szCs w:val="22"/>
        </w:rPr>
        <w:t>urgence établis ou modifiés qui assurent l</w:t>
      </w:r>
      <w:r w:rsidR="00474C4A">
        <w:rPr>
          <w:rFonts w:ascii="Arial" w:hAnsi="Arial"/>
          <w:sz w:val="22"/>
          <w:szCs w:val="22"/>
        </w:rPr>
        <w:t>’</w:t>
      </w:r>
      <w:r>
        <w:rPr>
          <w:rFonts w:ascii="Arial" w:hAnsi="Arial"/>
          <w:sz w:val="22"/>
          <w:szCs w:val="22"/>
        </w:rPr>
        <w:t>accès de toutes les personnes aux services.</w:t>
      </w:r>
    </w:p>
    <w:p w14:paraId="16099D9C" w14:textId="0870B20D" w:rsidR="00315772" w:rsidRPr="000F2434" w:rsidRDefault="00E816ED" w:rsidP="00E22BAF">
      <w:pPr>
        <w:pStyle w:val="Indent1"/>
        <w:numPr>
          <w:ilvl w:val="0"/>
          <w:numId w:val="6"/>
        </w:numPr>
        <w:tabs>
          <w:tab w:val="clear" w:pos="396"/>
        </w:tabs>
        <w:rPr>
          <w:rFonts w:ascii="Arial" w:hAnsi="Arial" w:cs="Arial"/>
          <w:iCs/>
          <w:sz w:val="22"/>
          <w:szCs w:val="22"/>
        </w:rPr>
      </w:pPr>
      <w:r w:rsidRPr="000F2434">
        <w:rPr>
          <w:rFonts w:ascii="Arial" w:hAnsi="Arial"/>
          <w:iCs/>
          <w:sz w:val="22"/>
          <w:szCs w:val="22"/>
        </w:rPr>
        <w:t xml:space="preserve">Pourcentage de femmes </w:t>
      </w:r>
      <w:r w:rsidR="00332BF6">
        <w:rPr>
          <w:rFonts w:ascii="Arial" w:hAnsi="Arial"/>
          <w:iCs/>
          <w:sz w:val="22"/>
          <w:szCs w:val="22"/>
        </w:rPr>
        <w:t xml:space="preserve">participant </w:t>
      </w:r>
      <w:r w:rsidRPr="000F2434">
        <w:rPr>
          <w:rFonts w:ascii="Arial" w:hAnsi="Arial"/>
          <w:iCs/>
          <w:sz w:val="22"/>
          <w:szCs w:val="22"/>
        </w:rPr>
        <w:t xml:space="preserve">aux organes de gouvernance et aux comités de </w:t>
      </w:r>
      <w:r w:rsidR="009D6AF9" w:rsidRPr="000F2434">
        <w:rPr>
          <w:rFonts w:ascii="Arial" w:hAnsi="Arial"/>
          <w:iCs/>
          <w:sz w:val="22"/>
          <w:szCs w:val="22"/>
        </w:rPr>
        <w:t>direction</w:t>
      </w:r>
      <w:r w:rsidRPr="000F2434">
        <w:rPr>
          <w:rFonts w:ascii="Arial" w:hAnsi="Arial"/>
          <w:iCs/>
          <w:sz w:val="22"/>
          <w:szCs w:val="22"/>
        </w:rPr>
        <w:t xml:space="preserve"> des systèmes de gestion des risques de catastrophe.</w:t>
      </w:r>
    </w:p>
    <w:p w14:paraId="28F5B6B3" w14:textId="77777777" w:rsidR="002A7CC9" w:rsidRPr="001217C0" w:rsidRDefault="002A7CC9" w:rsidP="002A7CC9">
      <w:pPr>
        <w:pStyle w:val="Indent1"/>
        <w:tabs>
          <w:tab w:val="clear" w:pos="396"/>
        </w:tabs>
        <w:rPr>
          <w:rFonts w:ascii="Arial" w:hAnsi="Arial" w:cs="Arial"/>
          <w:iCs/>
          <w:sz w:val="22"/>
          <w:szCs w:val="22"/>
          <w:lang w:val="en-US"/>
        </w:rPr>
      </w:pPr>
    </w:p>
    <w:p w14:paraId="756EC578" w14:textId="77777777" w:rsidR="004303DA" w:rsidRPr="001217C0" w:rsidRDefault="004303DA" w:rsidP="00E22BAF">
      <w:pPr>
        <w:pStyle w:val="Indent1"/>
        <w:numPr>
          <w:ilvl w:val="0"/>
          <w:numId w:val="1"/>
        </w:numPr>
        <w:tabs>
          <w:tab w:val="clear" w:pos="396"/>
          <w:tab w:val="clear" w:pos="741"/>
          <w:tab w:val="left" w:pos="0"/>
          <w:tab w:val="left" w:pos="426"/>
          <w:tab w:val="left" w:pos="1418"/>
        </w:tabs>
        <w:ind w:hanging="720"/>
        <w:rPr>
          <w:rFonts w:ascii="Arial" w:hAnsi="Arial" w:cs="Arial"/>
          <w:bCs/>
          <w:i/>
          <w:sz w:val="22"/>
          <w:szCs w:val="22"/>
        </w:rPr>
      </w:pPr>
      <w:bookmarkStart w:id="3" w:name="_Hlk5634916"/>
      <w:r>
        <w:rPr>
          <w:rFonts w:ascii="Arial" w:hAnsi="Arial"/>
          <w:bCs/>
          <w:i/>
          <w:sz w:val="22"/>
          <w:szCs w:val="22"/>
        </w:rPr>
        <w:t>Incidences sur le plan des ressources</w:t>
      </w:r>
    </w:p>
    <w:bookmarkEnd w:id="3"/>
    <w:p w14:paraId="359A81A2" w14:textId="77777777" w:rsidR="00A575F5" w:rsidRPr="001217C0" w:rsidRDefault="00A575F5" w:rsidP="00435652">
      <w:pPr>
        <w:pStyle w:val="Indent1"/>
        <w:ind w:left="0" w:firstLine="0"/>
        <w:rPr>
          <w:rFonts w:ascii="Arial" w:hAnsi="Arial" w:cs="Arial"/>
          <w:sz w:val="22"/>
          <w:szCs w:val="22"/>
          <w:lang w:val="en-US"/>
        </w:rPr>
      </w:pPr>
    </w:p>
    <w:p w14:paraId="036BF334" w14:textId="1BAD31B0" w:rsidR="00B23F78" w:rsidRPr="001217C0" w:rsidRDefault="00B23F78" w:rsidP="00E22BAF">
      <w:pPr>
        <w:pStyle w:val="Indent1"/>
        <w:numPr>
          <w:ilvl w:val="0"/>
          <w:numId w:val="3"/>
        </w:numPr>
        <w:tabs>
          <w:tab w:val="clear" w:pos="396"/>
        </w:tabs>
        <w:rPr>
          <w:rFonts w:ascii="Arial" w:hAnsi="Arial" w:cs="Arial"/>
          <w:sz w:val="22"/>
          <w:szCs w:val="22"/>
        </w:rPr>
      </w:pPr>
      <w:r>
        <w:rPr>
          <w:rFonts w:ascii="Arial" w:hAnsi="Arial"/>
          <w:sz w:val="22"/>
          <w:szCs w:val="22"/>
        </w:rPr>
        <w:t xml:space="preserve">Ressources </w:t>
      </w:r>
      <w:r w:rsidR="004B5CC5">
        <w:rPr>
          <w:rFonts w:ascii="Arial" w:hAnsi="Arial"/>
          <w:sz w:val="22"/>
          <w:szCs w:val="22"/>
        </w:rPr>
        <w:t xml:space="preserve">en matière d’examens législatifs requises pour </w:t>
      </w:r>
      <w:r w:rsidR="00BB3F7C">
        <w:rPr>
          <w:rFonts w:ascii="Arial" w:hAnsi="Arial"/>
          <w:sz w:val="22"/>
          <w:szCs w:val="22"/>
        </w:rPr>
        <w:t>la mesure</w:t>
      </w:r>
      <w:r w:rsidR="004B5CC5">
        <w:rPr>
          <w:rFonts w:ascii="Arial" w:hAnsi="Arial"/>
          <w:sz w:val="22"/>
          <w:szCs w:val="22"/>
        </w:rPr>
        <w:t> 1</w:t>
      </w:r>
      <w:r>
        <w:rPr>
          <w:rFonts w:ascii="Arial" w:hAnsi="Arial"/>
          <w:sz w:val="22"/>
          <w:szCs w:val="22"/>
        </w:rPr>
        <w:t>.</w:t>
      </w:r>
    </w:p>
    <w:p w14:paraId="5F5DD314" w14:textId="4D60D884" w:rsidR="00B23F78" w:rsidRPr="001217C0" w:rsidRDefault="00B23F78" w:rsidP="007360C3">
      <w:pPr>
        <w:pStyle w:val="Indent1"/>
        <w:numPr>
          <w:ilvl w:val="0"/>
          <w:numId w:val="3"/>
        </w:numPr>
        <w:tabs>
          <w:tab w:val="clear" w:pos="396"/>
        </w:tabs>
        <w:rPr>
          <w:rFonts w:ascii="Arial" w:hAnsi="Arial" w:cs="Arial"/>
          <w:sz w:val="22"/>
          <w:szCs w:val="22"/>
        </w:rPr>
      </w:pPr>
      <w:r>
        <w:rPr>
          <w:rFonts w:ascii="Arial" w:hAnsi="Arial"/>
          <w:sz w:val="22"/>
          <w:szCs w:val="22"/>
        </w:rPr>
        <w:t>Ressource</w:t>
      </w:r>
      <w:r w:rsidR="003E1E15">
        <w:rPr>
          <w:rFonts w:ascii="Arial" w:hAnsi="Arial"/>
          <w:sz w:val="22"/>
          <w:szCs w:val="22"/>
        </w:rPr>
        <w:t>s</w:t>
      </w:r>
      <w:r>
        <w:rPr>
          <w:rFonts w:ascii="Arial" w:hAnsi="Arial"/>
          <w:sz w:val="22"/>
          <w:szCs w:val="22"/>
        </w:rPr>
        <w:t xml:space="preserve"> </w:t>
      </w:r>
      <w:r w:rsidR="007360C3" w:rsidRPr="007360C3">
        <w:rPr>
          <w:rFonts w:ascii="Arial" w:hAnsi="Arial"/>
          <w:sz w:val="22"/>
          <w:szCs w:val="22"/>
        </w:rPr>
        <w:t>en matière</w:t>
      </w:r>
      <w:r w:rsidR="007360C3">
        <w:rPr>
          <w:rFonts w:ascii="Arial" w:hAnsi="Arial"/>
          <w:sz w:val="22"/>
          <w:szCs w:val="22"/>
        </w:rPr>
        <w:t xml:space="preserve"> de</w:t>
      </w:r>
      <w:r>
        <w:rPr>
          <w:rFonts w:ascii="Arial" w:hAnsi="Arial"/>
          <w:sz w:val="22"/>
          <w:szCs w:val="22"/>
        </w:rPr>
        <w:t xml:space="preserve"> formation des forces armées et de sécurité, et/ou des autorités détentrices</w:t>
      </w:r>
      <w:r w:rsidR="007360C3">
        <w:rPr>
          <w:rFonts w:ascii="Arial" w:hAnsi="Arial"/>
          <w:sz w:val="22"/>
          <w:szCs w:val="22"/>
        </w:rPr>
        <w:t>,</w:t>
      </w:r>
      <w:r>
        <w:rPr>
          <w:rFonts w:ascii="Arial" w:hAnsi="Arial"/>
          <w:sz w:val="22"/>
          <w:szCs w:val="22"/>
        </w:rPr>
        <w:t xml:space="preserve"> </w:t>
      </w:r>
      <w:r w:rsidR="004B5CC5" w:rsidRPr="004B5CC5">
        <w:rPr>
          <w:rFonts w:ascii="Arial" w:hAnsi="Arial"/>
          <w:sz w:val="22"/>
          <w:szCs w:val="22"/>
        </w:rPr>
        <w:t xml:space="preserve">requises pour </w:t>
      </w:r>
      <w:r w:rsidR="00BB3F7C">
        <w:rPr>
          <w:rFonts w:ascii="Arial" w:hAnsi="Arial"/>
          <w:sz w:val="22"/>
          <w:szCs w:val="22"/>
        </w:rPr>
        <w:t>la mesure </w:t>
      </w:r>
      <w:r w:rsidR="004B5CC5">
        <w:rPr>
          <w:rFonts w:ascii="Arial" w:hAnsi="Arial"/>
          <w:sz w:val="22"/>
          <w:szCs w:val="22"/>
        </w:rPr>
        <w:t>2</w:t>
      </w:r>
      <w:r>
        <w:rPr>
          <w:rFonts w:ascii="Arial" w:hAnsi="Arial"/>
          <w:sz w:val="22"/>
          <w:szCs w:val="22"/>
        </w:rPr>
        <w:t>.</w:t>
      </w:r>
    </w:p>
    <w:p w14:paraId="2D778128" w14:textId="1D67A88A" w:rsidR="00D848C0" w:rsidRPr="001217C0" w:rsidRDefault="00D848C0" w:rsidP="007360C3">
      <w:pPr>
        <w:pStyle w:val="Indent1"/>
        <w:numPr>
          <w:ilvl w:val="0"/>
          <w:numId w:val="3"/>
        </w:numPr>
        <w:tabs>
          <w:tab w:val="clear" w:pos="396"/>
        </w:tabs>
        <w:rPr>
          <w:rFonts w:ascii="Arial" w:hAnsi="Arial" w:cs="Arial"/>
          <w:sz w:val="22"/>
          <w:szCs w:val="22"/>
        </w:rPr>
      </w:pPr>
      <w:r>
        <w:rPr>
          <w:rFonts w:ascii="Arial" w:hAnsi="Arial"/>
          <w:sz w:val="22"/>
          <w:szCs w:val="22"/>
        </w:rPr>
        <w:t xml:space="preserve">Ressources </w:t>
      </w:r>
      <w:r w:rsidR="007360C3" w:rsidRPr="007360C3">
        <w:rPr>
          <w:rFonts w:ascii="Arial" w:hAnsi="Arial"/>
          <w:sz w:val="22"/>
          <w:szCs w:val="22"/>
        </w:rPr>
        <w:t>en matière</w:t>
      </w:r>
      <w:r w:rsidR="007360C3">
        <w:rPr>
          <w:rFonts w:ascii="Arial" w:hAnsi="Arial"/>
          <w:sz w:val="22"/>
          <w:szCs w:val="22"/>
        </w:rPr>
        <w:t xml:space="preserve"> d’</w:t>
      </w:r>
      <w:r>
        <w:rPr>
          <w:rFonts w:ascii="Arial" w:hAnsi="Arial"/>
          <w:sz w:val="22"/>
          <w:szCs w:val="22"/>
        </w:rPr>
        <w:t xml:space="preserve">examen des lois, des règlements et des procédures </w:t>
      </w:r>
      <w:r w:rsidR="00E95E7E" w:rsidRPr="00E95E7E">
        <w:rPr>
          <w:rFonts w:ascii="Arial" w:hAnsi="Arial"/>
          <w:sz w:val="22"/>
          <w:szCs w:val="22"/>
        </w:rPr>
        <w:t xml:space="preserve">requises pour </w:t>
      </w:r>
      <w:r w:rsidR="00BB3F7C">
        <w:rPr>
          <w:rFonts w:ascii="Arial" w:hAnsi="Arial"/>
          <w:sz w:val="22"/>
          <w:szCs w:val="22"/>
        </w:rPr>
        <w:t>la mesure</w:t>
      </w:r>
      <w:r>
        <w:rPr>
          <w:rFonts w:ascii="Arial" w:hAnsi="Arial"/>
          <w:sz w:val="22"/>
          <w:szCs w:val="22"/>
        </w:rPr>
        <w:t xml:space="preserve"> 3. </w:t>
      </w:r>
    </w:p>
    <w:p w14:paraId="653ADB8A" w14:textId="6376906A" w:rsidR="00707D73" w:rsidRPr="003669D5" w:rsidRDefault="0082688B" w:rsidP="007360C3">
      <w:pPr>
        <w:pStyle w:val="Indent1"/>
        <w:numPr>
          <w:ilvl w:val="0"/>
          <w:numId w:val="3"/>
        </w:numPr>
        <w:rPr>
          <w:rFonts w:ascii="Arial" w:hAnsi="Arial" w:cs="Arial"/>
          <w:sz w:val="22"/>
          <w:szCs w:val="22"/>
        </w:rPr>
      </w:pPr>
      <w:r>
        <w:rPr>
          <w:rFonts w:ascii="Arial" w:hAnsi="Arial"/>
          <w:sz w:val="22"/>
          <w:szCs w:val="22"/>
        </w:rPr>
        <w:t xml:space="preserve">Ressources </w:t>
      </w:r>
      <w:r w:rsidR="007360C3" w:rsidRPr="007360C3">
        <w:rPr>
          <w:rFonts w:ascii="Arial" w:hAnsi="Arial"/>
          <w:sz w:val="22"/>
          <w:szCs w:val="22"/>
        </w:rPr>
        <w:t>en matière</w:t>
      </w:r>
      <w:r w:rsidR="007360C3">
        <w:rPr>
          <w:rFonts w:ascii="Arial" w:hAnsi="Arial"/>
          <w:sz w:val="22"/>
          <w:szCs w:val="22"/>
        </w:rPr>
        <w:t xml:space="preserve"> d’</w:t>
      </w:r>
      <w:r>
        <w:rPr>
          <w:rFonts w:ascii="Arial" w:hAnsi="Arial"/>
          <w:sz w:val="22"/>
          <w:szCs w:val="22"/>
        </w:rPr>
        <w:t xml:space="preserve">examen des règlements ou procédures et des formations </w:t>
      </w:r>
      <w:r w:rsidR="00E95E7E" w:rsidRPr="00E95E7E">
        <w:rPr>
          <w:rFonts w:ascii="Arial" w:hAnsi="Arial"/>
          <w:sz w:val="22"/>
          <w:szCs w:val="22"/>
        </w:rPr>
        <w:t xml:space="preserve">requises pour </w:t>
      </w:r>
      <w:r w:rsidR="00BB3F7C">
        <w:rPr>
          <w:rFonts w:ascii="Arial" w:hAnsi="Arial"/>
          <w:sz w:val="22"/>
          <w:szCs w:val="22"/>
        </w:rPr>
        <w:t>la mesure</w:t>
      </w:r>
      <w:r>
        <w:rPr>
          <w:rFonts w:ascii="Arial" w:hAnsi="Arial"/>
          <w:sz w:val="22"/>
          <w:szCs w:val="22"/>
        </w:rPr>
        <w:t> 4.</w:t>
      </w:r>
    </w:p>
    <w:p w14:paraId="1E0536F8" w14:textId="77777777" w:rsidR="00A575F5" w:rsidRPr="001217C0" w:rsidRDefault="00A575F5" w:rsidP="00435652">
      <w:pPr>
        <w:pStyle w:val="Indent1"/>
        <w:ind w:left="0" w:firstLine="0"/>
        <w:rPr>
          <w:rFonts w:ascii="Arial" w:hAnsi="Arial" w:cs="Arial"/>
          <w:sz w:val="22"/>
          <w:szCs w:val="22"/>
          <w:lang w:val="en-US"/>
        </w:rPr>
      </w:pPr>
    </w:p>
    <w:p w14:paraId="491A88E8" w14:textId="64E20784" w:rsidR="009C0D65" w:rsidRPr="001217C0" w:rsidRDefault="00A279A7" w:rsidP="00435652">
      <w:pPr>
        <w:pStyle w:val="Indent1"/>
        <w:ind w:left="0" w:firstLine="0"/>
        <w:rPr>
          <w:rFonts w:ascii="Arial" w:hAnsi="Arial" w:cs="Arial"/>
          <w:sz w:val="22"/>
          <w:szCs w:val="22"/>
        </w:rPr>
      </w:pPr>
      <w:r>
        <w:rPr>
          <w:rFonts w:ascii="Arial" w:hAnsi="Arial"/>
          <w:sz w:val="22"/>
          <w:szCs w:val="22"/>
        </w:rPr>
        <w:t>État/Société nationale : ____________________________________________</w:t>
      </w:r>
    </w:p>
    <w:p w14:paraId="1A030AB2" w14:textId="77777777" w:rsidR="00AF7A8D" w:rsidRPr="001217C0" w:rsidRDefault="00AF7A8D" w:rsidP="00435652">
      <w:pPr>
        <w:pStyle w:val="Indent1"/>
        <w:ind w:left="0" w:firstLine="0"/>
        <w:rPr>
          <w:rFonts w:ascii="Arial" w:hAnsi="Arial" w:cs="Arial"/>
          <w:sz w:val="22"/>
          <w:szCs w:val="22"/>
          <w:lang w:val="en-US"/>
        </w:rPr>
      </w:pPr>
    </w:p>
    <w:p w14:paraId="01BDFD0C" w14:textId="77777777" w:rsidR="009C0D65" w:rsidRPr="001217C0" w:rsidRDefault="009C0D65" w:rsidP="00435652">
      <w:pPr>
        <w:pStyle w:val="Indent1"/>
        <w:ind w:left="0" w:firstLine="0"/>
        <w:rPr>
          <w:rFonts w:ascii="Arial" w:hAnsi="Arial" w:cs="Arial"/>
          <w:sz w:val="22"/>
          <w:szCs w:val="22"/>
        </w:rPr>
      </w:pPr>
      <w:r>
        <w:rPr>
          <w:rFonts w:ascii="Arial" w:hAnsi="Arial"/>
          <w:sz w:val="22"/>
          <w:szCs w:val="22"/>
        </w:rPr>
        <w:t>Département et personne de contact : _____________________________________</w:t>
      </w:r>
    </w:p>
    <w:p w14:paraId="70A1798B" w14:textId="77777777" w:rsidR="00AF7A8D" w:rsidRPr="001217C0" w:rsidRDefault="00AF7A8D" w:rsidP="00435652">
      <w:pPr>
        <w:pStyle w:val="Indent1"/>
        <w:ind w:left="0" w:firstLine="0"/>
        <w:rPr>
          <w:rFonts w:ascii="Arial" w:hAnsi="Arial" w:cs="Arial"/>
          <w:sz w:val="22"/>
          <w:szCs w:val="22"/>
          <w:lang w:val="en-US"/>
        </w:rPr>
      </w:pPr>
    </w:p>
    <w:p w14:paraId="7DC0AE93" w14:textId="21907F8B" w:rsidR="0095469E" w:rsidRDefault="009C0D65" w:rsidP="00435652">
      <w:pPr>
        <w:pStyle w:val="Indent1"/>
        <w:ind w:left="0" w:firstLine="0"/>
        <w:rPr>
          <w:rFonts w:ascii="Arial" w:hAnsi="Arial" w:cs="Arial"/>
          <w:sz w:val="22"/>
          <w:szCs w:val="22"/>
        </w:rPr>
      </w:pPr>
      <w:r>
        <w:rPr>
          <w:rFonts w:ascii="Arial" w:hAnsi="Arial"/>
          <w:sz w:val="22"/>
          <w:szCs w:val="22"/>
        </w:rPr>
        <w:t>Adresse de courriel et n° de l</w:t>
      </w:r>
      <w:r w:rsidR="00474C4A">
        <w:rPr>
          <w:rFonts w:ascii="Arial" w:hAnsi="Arial"/>
          <w:sz w:val="22"/>
          <w:szCs w:val="22"/>
        </w:rPr>
        <w:t>’</w:t>
      </w:r>
      <w:r>
        <w:rPr>
          <w:rFonts w:ascii="Arial" w:hAnsi="Arial"/>
          <w:sz w:val="22"/>
          <w:szCs w:val="22"/>
        </w:rPr>
        <w:t>extension : ____________________________________________</w:t>
      </w:r>
    </w:p>
    <w:p w14:paraId="518B87B1" w14:textId="77777777" w:rsidR="00B74D3F" w:rsidRDefault="00B74D3F" w:rsidP="00435652">
      <w:pPr>
        <w:pStyle w:val="Indent1"/>
        <w:ind w:left="0" w:firstLine="0"/>
        <w:rPr>
          <w:rFonts w:ascii="Arial" w:hAnsi="Arial" w:cs="Arial"/>
          <w:sz w:val="22"/>
          <w:szCs w:val="22"/>
          <w:lang w:val="en-US"/>
        </w:rPr>
      </w:pPr>
    </w:p>
    <w:p w14:paraId="5693E484" w14:textId="32B3A7A3" w:rsidR="00A279A7" w:rsidRPr="005039DB" w:rsidRDefault="00B74D3F" w:rsidP="00435652">
      <w:pPr>
        <w:pStyle w:val="Indent1"/>
        <w:ind w:left="0" w:firstLine="0"/>
        <w:rPr>
          <w:rFonts w:ascii="Arial" w:hAnsi="Arial"/>
          <w:sz w:val="22"/>
          <w:szCs w:val="22"/>
        </w:rPr>
      </w:pPr>
      <w:r>
        <w:rPr>
          <w:rFonts w:ascii="Arial" w:hAnsi="Arial"/>
          <w:sz w:val="22"/>
          <w:szCs w:val="22"/>
        </w:rPr>
        <w:t>Modèle d</w:t>
      </w:r>
      <w:r w:rsidR="00474C4A">
        <w:rPr>
          <w:rFonts w:ascii="Arial" w:hAnsi="Arial"/>
          <w:sz w:val="22"/>
          <w:szCs w:val="22"/>
        </w:rPr>
        <w:t>’</w:t>
      </w:r>
      <w:r>
        <w:rPr>
          <w:rFonts w:ascii="Arial" w:hAnsi="Arial"/>
          <w:sz w:val="22"/>
          <w:szCs w:val="22"/>
        </w:rPr>
        <w:t xml:space="preserve">engagement </w:t>
      </w:r>
      <w:r w:rsidR="005039DB">
        <w:rPr>
          <w:rFonts w:ascii="Arial" w:hAnsi="Arial"/>
          <w:sz w:val="22"/>
          <w:szCs w:val="22"/>
        </w:rPr>
        <w:t>proposé par</w:t>
      </w:r>
      <w:r>
        <w:rPr>
          <w:rFonts w:ascii="Arial" w:hAnsi="Arial"/>
          <w:sz w:val="22"/>
          <w:szCs w:val="22"/>
        </w:rPr>
        <w:t xml:space="preserve"> </w:t>
      </w:r>
      <w:r w:rsidR="005039DB">
        <w:rPr>
          <w:rFonts w:ascii="Arial" w:hAnsi="Arial"/>
          <w:sz w:val="22"/>
          <w:szCs w:val="22"/>
        </w:rPr>
        <w:t xml:space="preserve">le </w:t>
      </w:r>
      <w:r>
        <w:rPr>
          <w:rFonts w:ascii="Arial" w:hAnsi="Arial"/>
          <w:sz w:val="22"/>
          <w:szCs w:val="22"/>
        </w:rPr>
        <w:t>CICR (personne de contact : Vanessa Murphy, vmurphy@icrc</w:t>
      </w:r>
      <w:r w:rsidR="003D0368">
        <w:rPr>
          <w:rFonts w:ascii="Arial" w:hAnsi="Arial"/>
          <w:sz w:val="22"/>
          <w:szCs w:val="22"/>
        </w:rPr>
        <w:t>.org)</w:t>
      </w:r>
      <w:r>
        <w:rPr>
          <w:rFonts w:ascii="Arial" w:hAnsi="Arial"/>
          <w:sz w:val="22"/>
          <w:szCs w:val="22"/>
        </w:rPr>
        <w:t xml:space="preserve"> et</w:t>
      </w:r>
      <w:r w:rsidR="005039DB">
        <w:rPr>
          <w:rFonts w:ascii="Arial" w:hAnsi="Arial"/>
          <w:sz w:val="22"/>
          <w:szCs w:val="22"/>
        </w:rPr>
        <w:t xml:space="preserve"> la </w:t>
      </w:r>
      <w:r w:rsidR="00CF6022">
        <w:rPr>
          <w:rFonts w:ascii="Arial" w:hAnsi="Arial"/>
          <w:sz w:val="22"/>
          <w:szCs w:val="22"/>
        </w:rPr>
        <w:t>Fédération internationale (personne de contact : Lisa Akero, lisa.akero@ifrc.org)</w:t>
      </w:r>
      <w:r w:rsidR="005039DB">
        <w:rPr>
          <w:rFonts w:ascii="Arial" w:hAnsi="Arial"/>
          <w:sz w:val="22"/>
          <w:szCs w:val="22"/>
        </w:rPr>
        <w:t>.</w:t>
      </w:r>
    </w:p>
    <w:sectPr w:rsidR="00A279A7" w:rsidRPr="005039DB" w:rsidSect="00BB5F2C">
      <w:headerReference w:type="even" r:id="rId16"/>
      <w:headerReference w:type="default" r:id="rId17"/>
      <w:footerReference w:type="even" r:id="rId18"/>
      <w:footerReference w:type="default" r:id="rId19"/>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D09AF" w14:textId="77777777" w:rsidR="002E0D20" w:rsidRDefault="002E0D20">
      <w:r>
        <w:separator/>
      </w:r>
    </w:p>
  </w:endnote>
  <w:endnote w:type="continuationSeparator" w:id="0">
    <w:p w14:paraId="4E6C0D8C" w14:textId="77777777" w:rsidR="002E0D20" w:rsidRDefault="002E0D20">
      <w:r>
        <w:continuationSeparator/>
      </w:r>
    </w:p>
  </w:endnote>
  <w:endnote w:type="continuationNotice" w:id="1">
    <w:p w14:paraId="05A3F15C" w14:textId="77777777" w:rsidR="002E0D20" w:rsidRDefault="002E0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C72CA" w14:textId="77777777" w:rsidR="00404354" w:rsidRDefault="004043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3C8554" w14:textId="77777777" w:rsidR="00404354" w:rsidRDefault="0040435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4DD50" w14:textId="77777777" w:rsidR="00404354" w:rsidRDefault="0040435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D9F34" w14:textId="77777777" w:rsidR="002E0D20" w:rsidRDefault="002E0D20">
      <w:r>
        <w:separator/>
      </w:r>
    </w:p>
  </w:footnote>
  <w:footnote w:type="continuationSeparator" w:id="0">
    <w:p w14:paraId="76170EC2" w14:textId="77777777" w:rsidR="002E0D20" w:rsidRDefault="002E0D20">
      <w:r>
        <w:continuationSeparator/>
      </w:r>
    </w:p>
  </w:footnote>
  <w:footnote w:type="continuationNotice" w:id="1">
    <w:p w14:paraId="6809E744" w14:textId="77777777" w:rsidR="002E0D20" w:rsidRDefault="002E0D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348A" w14:textId="77777777" w:rsidR="00404354" w:rsidRDefault="00404354" w:rsidP="0062653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1D65AD" w14:textId="77777777" w:rsidR="00404354" w:rsidRDefault="00404354" w:rsidP="00844B3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169B7" w14:textId="77777777" w:rsidR="00404354" w:rsidRDefault="00404354" w:rsidP="005C419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3C93">
      <w:rPr>
        <w:rStyle w:val="Numrodepage"/>
        <w:noProof/>
      </w:rPr>
      <w:t>3</w:t>
    </w:r>
    <w:r>
      <w:rPr>
        <w:rStyle w:val="Numrodepage"/>
      </w:rPr>
      <w:fldChar w:fldCharType="end"/>
    </w:r>
  </w:p>
  <w:p w14:paraId="13514E2D" w14:textId="77777777" w:rsidR="00404354" w:rsidRDefault="00404354" w:rsidP="00844B3E">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5DD"/>
    <w:multiLevelType w:val="hybridMultilevel"/>
    <w:tmpl w:val="C61A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F44301"/>
    <w:multiLevelType w:val="hybridMultilevel"/>
    <w:tmpl w:val="73D2B4C6"/>
    <w:lvl w:ilvl="0" w:tplc="1424F256">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DD42495"/>
    <w:multiLevelType w:val="hybridMultilevel"/>
    <w:tmpl w:val="80664822"/>
    <w:lvl w:ilvl="0" w:tplc="ECB8DC7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5231963"/>
    <w:multiLevelType w:val="hybridMultilevel"/>
    <w:tmpl w:val="8564C28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BC04A8"/>
    <w:multiLevelType w:val="hybridMultilevel"/>
    <w:tmpl w:val="6ACEFAE0"/>
    <w:lvl w:ilvl="0" w:tplc="07EA1120">
      <w:start w:val="1"/>
      <w:numFmt w:val="decimal"/>
      <w:lvlText w:val="%1."/>
      <w:lvlJc w:val="left"/>
      <w:pPr>
        <w:ind w:left="720" w:hanging="360"/>
      </w:pPr>
      <w:rPr>
        <w:i w:val="0"/>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62B5790B"/>
    <w:multiLevelType w:val="hybridMultilevel"/>
    <w:tmpl w:val="60AAC8C6"/>
    <w:lvl w:ilvl="0" w:tplc="69A41B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EA64EE"/>
    <w:multiLevelType w:val="hybridMultilevel"/>
    <w:tmpl w:val="6FC4280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89"/>
    <w:rsid w:val="000027DD"/>
    <w:rsid w:val="00005A53"/>
    <w:rsid w:val="000074D8"/>
    <w:rsid w:val="0000773A"/>
    <w:rsid w:val="00007B1A"/>
    <w:rsid w:val="000119C2"/>
    <w:rsid w:val="00015E97"/>
    <w:rsid w:val="00017C85"/>
    <w:rsid w:val="00021373"/>
    <w:rsid w:val="000235C8"/>
    <w:rsid w:val="00023764"/>
    <w:rsid w:val="00024594"/>
    <w:rsid w:val="00025090"/>
    <w:rsid w:val="000250C7"/>
    <w:rsid w:val="00025807"/>
    <w:rsid w:val="00025DA6"/>
    <w:rsid w:val="000325C0"/>
    <w:rsid w:val="000334AE"/>
    <w:rsid w:val="00037119"/>
    <w:rsid w:val="000374B7"/>
    <w:rsid w:val="00042D3E"/>
    <w:rsid w:val="00042F67"/>
    <w:rsid w:val="00044E63"/>
    <w:rsid w:val="0005785D"/>
    <w:rsid w:val="00062387"/>
    <w:rsid w:val="0006498D"/>
    <w:rsid w:val="00065A99"/>
    <w:rsid w:val="00071313"/>
    <w:rsid w:val="00073629"/>
    <w:rsid w:val="00074D2D"/>
    <w:rsid w:val="000773A9"/>
    <w:rsid w:val="0008082E"/>
    <w:rsid w:val="00086811"/>
    <w:rsid w:val="00086B6B"/>
    <w:rsid w:val="00092C2D"/>
    <w:rsid w:val="00095742"/>
    <w:rsid w:val="000A31A4"/>
    <w:rsid w:val="000A5C99"/>
    <w:rsid w:val="000B435C"/>
    <w:rsid w:val="000B4C1F"/>
    <w:rsid w:val="000B5A30"/>
    <w:rsid w:val="000B644D"/>
    <w:rsid w:val="000B6539"/>
    <w:rsid w:val="000B6C90"/>
    <w:rsid w:val="000C0E9B"/>
    <w:rsid w:val="000C23BA"/>
    <w:rsid w:val="000C54F1"/>
    <w:rsid w:val="000C6D30"/>
    <w:rsid w:val="000D42CF"/>
    <w:rsid w:val="000D62B4"/>
    <w:rsid w:val="000E25B5"/>
    <w:rsid w:val="000E39CB"/>
    <w:rsid w:val="000E78FA"/>
    <w:rsid w:val="000F2434"/>
    <w:rsid w:val="000F6B23"/>
    <w:rsid w:val="000F719C"/>
    <w:rsid w:val="0010158E"/>
    <w:rsid w:val="00102281"/>
    <w:rsid w:val="00106ACD"/>
    <w:rsid w:val="001105BF"/>
    <w:rsid w:val="00113C2A"/>
    <w:rsid w:val="00113C69"/>
    <w:rsid w:val="00113FC9"/>
    <w:rsid w:val="00116478"/>
    <w:rsid w:val="00116967"/>
    <w:rsid w:val="001176A6"/>
    <w:rsid w:val="001203CF"/>
    <w:rsid w:val="00121463"/>
    <w:rsid w:val="001217C0"/>
    <w:rsid w:val="00122B99"/>
    <w:rsid w:val="00123C44"/>
    <w:rsid w:val="0012414A"/>
    <w:rsid w:val="00124697"/>
    <w:rsid w:val="00124ED0"/>
    <w:rsid w:val="00126A74"/>
    <w:rsid w:val="0013000E"/>
    <w:rsid w:val="00130246"/>
    <w:rsid w:val="001309DE"/>
    <w:rsid w:val="00136CEE"/>
    <w:rsid w:val="00137B46"/>
    <w:rsid w:val="001442A9"/>
    <w:rsid w:val="0014489A"/>
    <w:rsid w:val="00152AF0"/>
    <w:rsid w:val="001545FA"/>
    <w:rsid w:val="001556C1"/>
    <w:rsid w:val="0016087E"/>
    <w:rsid w:val="00160FB4"/>
    <w:rsid w:val="001634B4"/>
    <w:rsid w:val="001646E6"/>
    <w:rsid w:val="001648C4"/>
    <w:rsid w:val="00165778"/>
    <w:rsid w:val="00173256"/>
    <w:rsid w:val="0017798E"/>
    <w:rsid w:val="001779D2"/>
    <w:rsid w:val="001808C2"/>
    <w:rsid w:val="001812FE"/>
    <w:rsid w:val="00181B3B"/>
    <w:rsid w:val="00183A43"/>
    <w:rsid w:val="0019146F"/>
    <w:rsid w:val="00191B2D"/>
    <w:rsid w:val="0019783F"/>
    <w:rsid w:val="001A64EE"/>
    <w:rsid w:val="001B1A29"/>
    <w:rsid w:val="001C018D"/>
    <w:rsid w:val="001C1766"/>
    <w:rsid w:val="001C5CF0"/>
    <w:rsid w:val="001C714F"/>
    <w:rsid w:val="001D117C"/>
    <w:rsid w:val="001D1C77"/>
    <w:rsid w:val="001D3B20"/>
    <w:rsid w:val="001D6710"/>
    <w:rsid w:val="001D6F7B"/>
    <w:rsid w:val="001E06A2"/>
    <w:rsid w:val="001E31A0"/>
    <w:rsid w:val="001E3A7B"/>
    <w:rsid w:val="001E3EE4"/>
    <w:rsid w:val="001E65E6"/>
    <w:rsid w:val="001E7B5B"/>
    <w:rsid w:val="001F12FA"/>
    <w:rsid w:val="001F365A"/>
    <w:rsid w:val="001F4B2B"/>
    <w:rsid w:val="001F4D71"/>
    <w:rsid w:val="001F602A"/>
    <w:rsid w:val="001F6397"/>
    <w:rsid w:val="00201B73"/>
    <w:rsid w:val="00201F24"/>
    <w:rsid w:val="00203E3D"/>
    <w:rsid w:val="0021104F"/>
    <w:rsid w:val="00213029"/>
    <w:rsid w:val="002146B4"/>
    <w:rsid w:val="00215765"/>
    <w:rsid w:val="00216AAF"/>
    <w:rsid w:val="00216D4B"/>
    <w:rsid w:val="00217979"/>
    <w:rsid w:val="00220720"/>
    <w:rsid w:val="00222E02"/>
    <w:rsid w:val="00222F10"/>
    <w:rsid w:val="002310BB"/>
    <w:rsid w:val="0023202D"/>
    <w:rsid w:val="00235D26"/>
    <w:rsid w:val="0024085E"/>
    <w:rsid w:val="00241C49"/>
    <w:rsid w:val="00242182"/>
    <w:rsid w:val="00242611"/>
    <w:rsid w:val="00243044"/>
    <w:rsid w:val="002543F2"/>
    <w:rsid w:val="00260612"/>
    <w:rsid w:val="002608AD"/>
    <w:rsid w:val="00261657"/>
    <w:rsid w:val="00261CE0"/>
    <w:rsid w:val="002638A9"/>
    <w:rsid w:val="00263BA3"/>
    <w:rsid w:val="00266ACE"/>
    <w:rsid w:val="002670EE"/>
    <w:rsid w:val="00271FA3"/>
    <w:rsid w:val="0027285D"/>
    <w:rsid w:val="00274D03"/>
    <w:rsid w:val="00275A1A"/>
    <w:rsid w:val="002764A0"/>
    <w:rsid w:val="00282232"/>
    <w:rsid w:val="00284A16"/>
    <w:rsid w:val="00286E94"/>
    <w:rsid w:val="0029058F"/>
    <w:rsid w:val="00293139"/>
    <w:rsid w:val="00293759"/>
    <w:rsid w:val="00293B95"/>
    <w:rsid w:val="00295278"/>
    <w:rsid w:val="00296702"/>
    <w:rsid w:val="0029700B"/>
    <w:rsid w:val="002A0282"/>
    <w:rsid w:val="002A1A33"/>
    <w:rsid w:val="002A30F0"/>
    <w:rsid w:val="002A3AED"/>
    <w:rsid w:val="002A7CC9"/>
    <w:rsid w:val="002B0196"/>
    <w:rsid w:val="002B09CF"/>
    <w:rsid w:val="002B34B4"/>
    <w:rsid w:val="002B5123"/>
    <w:rsid w:val="002B7AAB"/>
    <w:rsid w:val="002C00E5"/>
    <w:rsid w:val="002C1A4B"/>
    <w:rsid w:val="002C25D4"/>
    <w:rsid w:val="002C3004"/>
    <w:rsid w:val="002C3BAA"/>
    <w:rsid w:val="002C617F"/>
    <w:rsid w:val="002C6DAF"/>
    <w:rsid w:val="002D58C1"/>
    <w:rsid w:val="002D68D5"/>
    <w:rsid w:val="002D7179"/>
    <w:rsid w:val="002E01A0"/>
    <w:rsid w:val="002E0D20"/>
    <w:rsid w:val="002E1036"/>
    <w:rsid w:val="002E2644"/>
    <w:rsid w:val="002E3668"/>
    <w:rsid w:val="002E6E0B"/>
    <w:rsid w:val="002F0588"/>
    <w:rsid w:val="002F0A09"/>
    <w:rsid w:val="002F2097"/>
    <w:rsid w:val="002F5EA7"/>
    <w:rsid w:val="002F7ABA"/>
    <w:rsid w:val="00301D26"/>
    <w:rsid w:val="00303F8C"/>
    <w:rsid w:val="003123B7"/>
    <w:rsid w:val="0031492D"/>
    <w:rsid w:val="00314A48"/>
    <w:rsid w:val="00314C85"/>
    <w:rsid w:val="003151FB"/>
    <w:rsid w:val="00315772"/>
    <w:rsid w:val="00315EF7"/>
    <w:rsid w:val="003214C1"/>
    <w:rsid w:val="003222A1"/>
    <w:rsid w:val="00322598"/>
    <w:rsid w:val="00332BF6"/>
    <w:rsid w:val="0033652A"/>
    <w:rsid w:val="00340D92"/>
    <w:rsid w:val="00341395"/>
    <w:rsid w:val="00342778"/>
    <w:rsid w:val="00343562"/>
    <w:rsid w:val="0034446C"/>
    <w:rsid w:val="00345C82"/>
    <w:rsid w:val="00350C3D"/>
    <w:rsid w:val="003514BC"/>
    <w:rsid w:val="00352B7D"/>
    <w:rsid w:val="00352E1C"/>
    <w:rsid w:val="003530CA"/>
    <w:rsid w:val="0035372A"/>
    <w:rsid w:val="00353EC3"/>
    <w:rsid w:val="003554E9"/>
    <w:rsid w:val="0035690D"/>
    <w:rsid w:val="00361F87"/>
    <w:rsid w:val="003645BF"/>
    <w:rsid w:val="003669D5"/>
    <w:rsid w:val="0037067A"/>
    <w:rsid w:val="00371FC0"/>
    <w:rsid w:val="003771D7"/>
    <w:rsid w:val="00382C74"/>
    <w:rsid w:val="003846FF"/>
    <w:rsid w:val="00392D5C"/>
    <w:rsid w:val="0039369B"/>
    <w:rsid w:val="003963C3"/>
    <w:rsid w:val="00397F56"/>
    <w:rsid w:val="003A1A3F"/>
    <w:rsid w:val="003A59CD"/>
    <w:rsid w:val="003A7560"/>
    <w:rsid w:val="003B185C"/>
    <w:rsid w:val="003B1E93"/>
    <w:rsid w:val="003B2434"/>
    <w:rsid w:val="003B2C6A"/>
    <w:rsid w:val="003B364C"/>
    <w:rsid w:val="003B495A"/>
    <w:rsid w:val="003B4CFB"/>
    <w:rsid w:val="003C008B"/>
    <w:rsid w:val="003C09BF"/>
    <w:rsid w:val="003C0E14"/>
    <w:rsid w:val="003C0E2D"/>
    <w:rsid w:val="003C1412"/>
    <w:rsid w:val="003C187A"/>
    <w:rsid w:val="003C23A9"/>
    <w:rsid w:val="003C27E0"/>
    <w:rsid w:val="003C4AA9"/>
    <w:rsid w:val="003D0368"/>
    <w:rsid w:val="003D0617"/>
    <w:rsid w:val="003D0936"/>
    <w:rsid w:val="003D735F"/>
    <w:rsid w:val="003E0607"/>
    <w:rsid w:val="003E1E15"/>
    <w:rsid w:val="003E4A3D"/>
    <w:rsid w:val="003E70B4"/>
    <w:rsid w:val="003F318A"/>
    <w:rsid w:val="003F4823"/>
    <w:rsid w:val="003F57AC"/>
    <w:rsid w:val="00400A42"/>
    <w:rsid w:val="00404354"/>
    <w:rsid w:val="004053C6"/>
    <w:rsid w:val="004062C2"/>
    <w:rsid w:val="00411D05"/>
    <w:rsid w:val="00412372"/>
    <w:rsid w:val="00412E54"/>
    <w:rsid w:val="00416EA8"/>
    <w:rsid w:val="00424A31"/>
    <w:rsid w:val="00424C3F"/>
    <w:rsid w:val="004268CF"/>
    <w:rsid w:val="004303DA"/>
    <w:rsid w:val="00431417"/>
    <w:rsid w:val="00435652"/>
    <w:rsid w:val="00437BAE"/>
    <w:rsid w:val="0044070B"/>
    <w:rsid w:val="0044292B"/>
    <w:rsid w:val="00445855"/>
    <w:rsid w:val="00451E7D"/>
    <w:rsid w:val="00452373"/>
    <w:rsid w:val="00457749"/>
    <w:rsid w:val="004710AD"/>
    <w:rsid w:val="0047194B"/>
    <w:rsid w:val="00471EE1"/>
    <w:rsid w:val="00474C4A"/>
    <w:rsid w:val="004778E5"/>
    <w:rsid w:val="004824EC"/>
    <w:rsid w:val="00483FA4"/>
    <w:rsid w:val="00485250"/>
    <w:rsid w:val="004852CD"/>
    <w:rsid w:val="004920B4"/>
    <w:rsid w:val="004958AF"/>
    <w:rsid w:val="00496EEE"/>
    <w:rsid w:val="004975CF"/>
    <w:rsid w:val="004A0874"/>
    <w:rsid w:val="004A2135"/>
    <w:rsid w:val="004A5E2D"/>
    <w:rsid w:val="004A6E3D"/>
    <w:rsid w:val="004B120F"/>
    <w:rsid w:val="004B4857"/>
    <w:rsid w:val="004B59C9"/>
    <w:rsid w:val="004B5CC5"/>
    <w:rsid w:val="004C1880"/>
    <w:rsid w:val="004C2E64"/>
    <w:rsid w:val="004C3562"/>
    <w:rsid w:val="004C4C49"/>
    <w:rsid w:val="004C63D4"/>
    <w:rsid w:val="004C78CA"/>
    <w:rsid w:val="004D34DE"/>
    <w:rsid w:val="004D5347"/>
    <w:rsid w:val="004D58D0"/>
    <w:rsid w:val="004D5E2E"/>
    <w:rsid w:val="004E0830"/>
    <w:rsid w:val="004E49C2"/>
    <w:rsid w:val="004E64F7"/>
    <w:rsid w:val="004F1BEC"/>
    <w:rsid w:val="004F6624"/>
    <w:rsid w:val="004F7C9C"/>
    <w:rsid w:val="005002B3"/>
    <w:rsid w:val="00500D76"/>
    <w:rsid w:val="00503828"/>
    <w:rsid w:val="005039DB"/>
    <w:rsid w:val="00503C6A"/>
    <w:rsid w:val="0050664F"/>
    <w:rsid w:val="00506AFC"/>
    <w:rsid w:val="005078E0"/>
    <w:rsid w:val="00510E39"/>
    <w:rsid w:val="00513BBB"/>
    <w:rsid w:val="00513D3E"/>
    <w:rsid w:val="00515723"/>
    <w:rsid w:val="00516C6D"/>
    <w:rsid w:val="00520A3A"/>
    <w:rsid w:val="00520A84"/>
    <w:rsid w:val="00526497"/>
    <w:rsid w:val="00526867"/>
    <w:rsid w:val="00527BBA"/>
    <w:rsid w:val="00530C8C"/>
    <w:rsid w:val="00535219"/>
    <w:rsid w:val="00535605"/>
    <w:rsid w:val="005366B0"/>
    <w:rsid w:val="00536A12"/>
    <w:rsid w:val="00543754"/>
    <w:rsid w:val="0054590B"/>
    <w:rsid w:val="0054662F"/>
    <w:rsid w:val="0055073C"/>
    <w:rsid w:val="0055354B"/>
    <w:rsid w:val="0055496F"/>
    <w:rsid w:val="00555AEE"/>
    <w:rsid w:val="0055620E"/>
    <w:rsid w:val="005563FB"/>
    <w:rsid w:val="00556C5C"/>
    <w:rsid w:val="00574D65"/>
    <w:rsid w:val="00577C6D"/>
    <w:rsid w:val="00580258"/>
    <w:rsid w:val="00584D4F"/>
    <w:rsid w:val="00587FB9"/>
    <w:rsid w:val="00593970"/>
    <w:rsid w:val="00595C22"/>
    <w:rsid w:val="00596B79"/>
    <w:rsid w:val="00596F05"/>
    <w:rsid w:val="00597975"/>
    <w:rsid w:val="00597E59"/>
    <w:rsid w:val="005A0EF6"/>
    <w:rsid w:val="005A746A"/>
    <w:rsid w:val="005B3180"/>
    <w:rsid w:val="005B7E69"/>
    <w:rsid w:val="005C0FFD"/>
    <w:rsid w:val="005C1E65"/>
    <w:rsid w:val="005C4193"/>
    <w:rsid w:val="005C4634"/>
    <w:rsid w:val="005C480A"/>
    <w:rsid w:val="005C663C"/>
    <w:rsid w:val="005C7728"/>
    <w:rsid w:val="005D1AB6"/>
    <w:rsid w:val="005D2E0A"/>
    <w:rsid w:val="005D47E2"/>
    <w:rsid w:val="005D4988"/>
    <w:rsid w:val="005D4C13"/>
    <w:rsid w:val="005D598B"/>
    <w:rsid w:val="005D6CED"/>
    <w:rsid w:val="005E291A"/>
    <w:rsid w:val="005E6A0E"/>
    <w:rsid w:val="005E7996"/>
    <w:rsid w:val="005F0537"/>
    <w:rsid w:val="005F13E3"/>
    <w:rsid w:val="005F2C23"/>
    <w:rsid w:val="005F30C2"/>
    <w:rsid w:val="0060118B"/>
    <w:rsid w:val="006014AE"/>
    <w:rsid w:val="006054BF"/>
    <w:rsid w:val="00606032"/>
    <w:rsid w:val="00607206"/>
    <w:rsid w:val="00613FF9"/>
    <w:rsid w:val="00615497"/>
    <w:rsid w:val="00616083"/>
    <w:rsid w:val="00616604"/>
    <w:rsid w:val="0061749A"/>
    <w:rsid w:val="00622394"/>
    <w:rsid w:val="00622E87"/>
    <w:rsid w:val="00624477"/>
    <w:rsid w:val="00626534"/>
    <w:rsid w:val="006271AF"/>
    <w:rsid w:val="006311BC"/>
    <w:rsid w:val="0063236E"/>
    <w:rsid w:val="0063342E"/>
    <w:rsid w:val="00634F20"/>
    <w:rsid w:val="006353DC"/>
    <w:rsid w:val="00635B33"/>
    <w:rsid w:val="00641CA9"/>
    <w:rsid w:val="006424F5"/>
    <w:rsid w:val="00642739"/>
    <w:rsid w:val="00651073"/>
    <w:rsid w:val="0065270D"/>
    <w:rsid w:val="00652AB8"/>
    <w:rsid w:val="00654022"/>
    <w:rsid w:val="006615F1"/>
    <w:rsid w:val="00665A1E"/>
    <w:rsid w:val="00666562"/>
    <w:rsid w:val="00666AE3"/>
    <w:rsid w:val="0066744C"/>
    <w:rsid w:val="00667AC9"/>
    <w:rsid w:val="006710F0"/>
    <w:rsid w:val="00673BFB"/>
    <w:rsid w:val="00680132"/>
    <w:rsid w:val="00683DB2"/>
    <w:rsid w:val="0068592E"/>
    <w:rsid w:val="00686130"/>
    <w:rsid w:val="00687D3F"/>
    <w:rsid w:val="00690513"/>
    <w:rsid w:val="00690DD7"/>
    <w:rsid w:val="00694281"/>
    <w:rsid w:val="0069516C"/>
    <w:rsid w:val="006A071E"/>
    <w:rsid w:val="006A149E"/>
    <w:rsid w:val="006A3FA7"/>
    <w:rsid w:val="006A521F"/>
    <w:rsid w:val="006B1DC2"/>
    <w:rsid w:val="006D0718"/>
    <w:rsid w:val="006D1302"/>
    <w:rsid w:val="006D3ACB"/>
    <w:rsid w:val="006E2393"/>
    <w:rsid w:val="006E248B"/>
    <w:rsid w:val="006E5138"/>
    <w:rsid w:val="006E66E0"/>
    <w:rsid w:val="006F0155"/>
    <w:rsid w:val="006F02A4"/>
    <w:rsid w:val="00704A4D"/>
    <w:rsid w:val="00705E98"/>
    <w:rsid w:val="00707D73"/>
    <w:rsid w:val="00711D02"/>
    <w:rsid w:val="0071397B"/>
    <w:rsid w:val="00713D20"/>
    <w:rsid w:val="00714567"/>
    <w:rsid w:val="007179DC"/>
    <w:rsid w:val="0072282F"/>
    <w:rsid w:val="00723604"/>
    <w:rsid w:val="0072480E"/>
    <w:rsid w:val="007250DA"/>
    <w:rsid w:val="00727DDE"/>
    <w:rsid w:val="007348ED"/>
    <w:rsid w:val="007360C3"/>
    <w:rsid w:val="00741FAA"/>
    <w:rsid w:val="007525EE"/>
    <w:rsid w:val="00753B9D"/>
    <w:rsid w:val="0075492E"/>
    <w:rsid w:val="0075661B"/>
    <w:rsid w:val="00763D59"/>
    <w:rsid w:val="00764AB9"/>
    <w:rsid w:val="00770F28"/>
    <w:rsid w:val="00771D2E"/>
    <w:rsid w:val="0077207F"/>
    <w:rsid w:val="007740BE"/>
    <w:rsid w:val="00774169"/>
    <w:rsid w:val="007753AC"/>
    <w:rsid w:val="00781851"/>
    <w:rsid w:val="0078599D"/>
    <w:rsid w:val="007869B7"/>
    <w:rsid w:val="00792718"/>
    <w:rsid w:val="007971B7"/>
    <w:rsid w:val="007A76E5"/>
    <w:rsid w:val="007A7D8C"/>
    <w:rsid w:val="007B3533"/>
    <w:rsid w:val="007C306A"/>
    <w:rsid w:val="007C7180"/>
    <w:rsid w:val="007D67B7"/>
    <w:rsid w:val="007E189A"/>
    <w:rsid w:val="007E1919"/>
    <w:rsid w:val="007E2AA3"/>
    <w:rsid w:val="007E43D2"/>
    <w:rsid w:val="007E483F"/>
    <w:rsid w:val="007F1FCF"/>
    <w:rsid w:val="007F4FE9"/>
    <w:rsid w:val="008009EA"/>
    <w:rsid w:val="00801016"/>
    <w:rsid w:val="00801286"/>
    <w:rsid w:val="00805163"/>
    <w:rsid w:val="00806A1F"/>
    <w:rsid w:val="00806B0C"/>
    <w:rsid w:val="00806C25"/>
    <w:rsid w:val="008115CD"/>
    <w:rsid w:val="00815C55"/>
    <w:rsid w:val="008166B5"/>
    <w:rsid w:val="00821660"/>
    <w:rsid w:val="00825CD7"/>
    <w:rsid w:val="0082688B"/>
    <w:rsid w:val="00826CC0"/>
    <w:rsid w:val="00832F5D"/>
    <w:rsid w:val="00842CCA"/>
    <w:rsid w:val="00844B3E"/>
    <w:rsid w:val="00845889"/>
    <w:rsid w:val="00845E9B"/>
    <w:rsid w:val="00845EFB"/>
    <w:rsid w:val="00846C74"/>
    <w:rsid w:val="008471CD"/>
    <w:rsid w:val="008473B8"/>
    <w:rsid w:val="00847529"/>
    <w:rsid w:val="00854201"/>
    <w:rsid w:val="00855D8C"/>
    <w:rsid w:val="00856C59"/>
    <w:rsid w:val="00860CB5"/>
    <w:rsid w:val="0086127B"/>
    <w:rsid w:val="00863209"/>
    <w:rsid w:val="0086380E"/>
    <w:rsid w:val="00866342"/>
    <w:rsid w:val="00876218"/>
    <w:rsid w:val="0087690C"/>
    <w:rsid w:val="00877677"/>
    <w:rsid w:val="008806E5"/>
    <w:rsid w:val="00881BFF"/>
    <w:rsid w:val="00883583"/>
    <w:rsid w:val="00886B4A"/>
    <w:rsid w:val="008906FA"/>
    <w:rsid w:val="0089079C"/>
    <w:rsid w:val="00891CEF"/>
    <w:rsid w:val="00892475"/>
    <w:rsid w:val="00893218"/>
    <w:rsid w:val="008942EA"/>
    <w:rsid w:val="00894573"/>
    <w:rsid w:val="00894B57"/>
    <w:rsid w:val="008A0D49"/>
    <w:rsid w:val="008A6800"/>
    <w:rsid w:val="008B0474"/>
    <w:rsid w:val="008B087B"/>
    <w:rsid w:val="008B1502"/>
    <w:rsid w:val="008B22BE"/>
    <w:rsid w:val="008B3D26"/>
    <w:rsid w:val="008B58BA"/>
    <w:rsid w:val="008C051C"/>
    <w:rsid w:val="008C553D"/>
    <w:rsid w:val="008C5843"/>
    <w:rsid w:val="008C661A"/>
    <w:rsid w:val="008C6EC8"/>
    <w:rsid w:val="008D4401"/>
    <w:rsid w:val="008D47DE"/>
    <w:rsid w:val="008D5CCD"/>
    <w:rsid w:val="008E3423"/>
    <w:rsid w:val="008E3F65"/>
    <w:rsid w:val="008E3F73"/>
    <w:rsid w:val="008E74B8"/>
    <w:rsid w:val="008E76DC"/>
    <w:rsid w:val="008F167A"/>
    <w:rsid w:val="008F35CE"/>
    <w:rsid w:val="00900BC5"/>
    <w:rsid w:val="009039A0"/>
    <w:rsid w:val="00903E82"/>
    <w:rsid w:val="0090495F"/>
    <w:rsid w:val="00905F00"/>
    <w:rsid w:val="009070FE"/>
    <w:rsid w:val="00912238"/>
    <w:rsid w:val="0091338C"/>
    <w:rsid w:val="009149DF"/>
    <w:rsid w:val="009234E6"/>
    <w:rsid w:val="00923AFB"/>
    <w:rsid w:val="00924A58"/>
    <w:rsid w:val="009322FD"/>
    <w:rsid w:val="00932CBE"/>
    <w:rsid w:val="00932FB6"/>
    <w:rsid w:val="00935A19"/>
    <w:rsid w:val="00936B1B"/>
    <w:rsid w:val="009420BC"/>
    <w:rsid w:val="00942174"/>
    <w:rsid w:val="00942972"/>
    <w:rsid w:val="00944D26"/>
    <w:rsid w:val="00945AAE"/>
    <w:rsid w:val="009466A8"/>
    <w:rsid w:val="0095248C"/>
    <w:rsid w:val="00952EDB"/>
    <w:rsid w:val="009540F2"/>
    <w:rsid w:val="0095469E"/>
    <w:rsid w:val="00954885"/>
    <w:rsid w:val="00954E1A"/>
    <w:rsid w:val="00954EB4"/>
    <w:rsid w:val="009563B0"/>
    <w:rsid w:val="00960F3E"/>
    <w:rsid w:val="009610AC"/>
    <w:rsid w:val="0096285C"/>
    <w:rsid w:val="00962988"/>
    <w:rsid w:val="009632C8"/>
    <w:rsid w:val="00964BD8"/>
    <w:rsid w:val="00965BFB"/>
    <w:rsid w:val="00970812"/>
    <w:rsid w:val="00973B5B"/>
    <w:rsid w:val="009768C1"/>
    <w:rsid w:val="009778A1"/>
    <w:rsid w:val="0098277F"/>
    <w:rsid w:val="009828B3"/>
    <w:rsid w:val="009836A4"/>
    <w:rsid w:val="009860F4"/>
    <w:rsid w:val="009925E4"/>
    <w:rsid w:val="00995774"/>
    <w:rsid w:val="00996980"/>
    <w:rsid w:val="00997B30"/>
    <w:rsid w:val="009A1D03"/>
    <w:rsid w:val="009A377C"/>
    <w:rsid w:val="009A4854"/>
    <w:rsid w:val="009A5769"/>
    <w:rsid w:val="009B6655"/>
    <w:rsid w:val="009B6D89"/>
    <w:rsid w:val="009B76D8"/>
    <w:rsid w:val="009C0D65"/>
    <w:rsid w:val="009C1755"/>
    <w:rsid w:val="009C4BAA"/>
    <w:rsid w:val="009C5618"/>
    <w:rsid w:val="009D2CBE"/>
    <w:rsid w:val="009D3FC4"/>
    <w:rsid w:val="009D50B7"/>
    <w:rsid w:val="009D6A10"/>
    <w:rsid w:val="009D6AF9"/>
    <w:rsid w:val="009E288D"/>
    <w:rsid w:val="009E2D07"/>
    <w:rsid w:val="009E630D"/>
    <w:rsid w:val="009F08A4"/>
    <w:rsid w:val="009F3012"/>
    <w:rsid w:val="009F708B"/>
    <w:rsid w:val="00A10801"/>
    <w:rsid w:val="00A1687F"/>
    <w:rsid w:val="00A17DEF"/>
    <w:rsid w:val="00A20B82"/>
    <w:rsid w:val="00A25AB7"/>
    <w:rsid w:val="00A266EC"/>
    <w:rsid w:val="00A279A7"/>
    <w:rsid w:val="00A27F4A"/>
    <w:rsid w:val="00A3314B"/>
    <w:rsid w:val="00A42B6D"/>
    <w:rsid w:val="00A4635E"/>
    <w:rsid w:val="00A575F5"/>
    <w:rsid w:val="00A624A8"/>
    <w:rsid w:val="00A62D9A"/>
    <w:rsid w:val="00A7473F"/>
    <w:rsid w:val="00A77BE2"/>
    <w:rsid w:val="00A81683"/>
    <w:rsid w:val="00A926CA"/>
    <w:rsid w:val="00A95384"/>
    <w:rsid w:val="00A96066"/>
    <w:rsid w:val="00A96E67"/>
    <w:rsid w:val="00AA0B29"/>
    <w:rsid w:val="00AA260E"/>
    <w:rsid w:val="00AA7496"/>
    <w:rsid w:val="00AA7B8D"/>
    <w:rsid w:val="00AC1D87"/>
    <w:rsid w:val="00AC2C9F"/>
    <w:rsid w:val="00AC41BB"/>
    <w:rsid w:val="00AD5F81"/>
    <w:rsid w:val="00AD678D"/>
    <w:rsid w:val="00AE02FE"/>
    <w:rsid w:val="00AE2A6E"/>
    <w:rsid w:val="00AE4DFF"/>
    <w:rsid w:val="00AF5712"/>
    <w:rsid w:val="00AF6B72"/>
    <w:rsid w:val="00AF74D8"/>
    <w:rsid w:val="00AF7A8D"/>
    <w:rsid w:val="00B00713"/>
    <w:rsid w:val="00B06BA5"/>
    <w:rsid w:val="00B073F3"/>
    <w:rsid w:val="00B14420"/>
    <w:rsid w:val="00B20294"/>
    <w:rsid w:val="00B20991"/>
    <w:rsid w:val="00B20FE0"/>
    <w:rsid w:val="00B23F78"/>
    <w:rsid w:val="00B25E51"/>
    <w:rsid w:val="00B31DE5"/>
    <w:rsid w:val="00B33B9A"/>
    <w:rsid w:val="00B36BAF"/>
    <w:rsid w:val="00B43E6C"/>
    <w:rsid w:val="00B440DF"/>
    <w:rsid w:val="00B44664"/>
    <w:rsid w:val="00B4656C"/>
    <w:rsid w:val="00B50FED"/>
    <w:rsid w:val="00B51465"/>
    <w:rsid w:val="00B56000"/>
    <w:rsid w:val="00B571ED"/>
    <w:rsid w:val="00B5735A"/>
    <w:rsid w:val="00B5741B"/>
    <w:rsid w:val="00B57925"/>
    <w:rsid w:val="00B63A2C"/>
    <w:rsid w:val="00B708B2"/>
    <w:rsid w:val="00B71B55"/>
    <w:rsid w:val="00B71DFE"/>
    <w:rsid w:val="00B74D3F"/>
    <w:rsid w:val="00B76689"/>
    <w:rsid w:val="00B839A6"/>
    <w:rsid w:val="00B87B77"/>
    <w:rsid w:val="00B95FBE"/>
    <w:rsid w:val="00B972BA"/>
    <w:rsid w:val="00BA07F0"/>
    <w:rsid w:val="00BA2682"/>
    <w:rsid w:val="00BB0FD1"/>
    <w:rsid w:val="00BB3F7C"/>
    <w:rsid w:val="00BB5F2C"/>
    <w:rsid w:val="00BC39AA"/>
    <w:rsid w:val="00BC43FD"/>
    <w:rsid w:val="00BC44D4"/>
    <w:rsid w:val="00BC4530"/>
    <w:rsid w:val="00BC493B"/>
    <w:rsid w:val="00BC6CEC"/>
    <w:rsid w:val="00BD1CCC"/>
    <w:rsid w:val="00BD3460"/>
    <w:rsid w:val="00BD3764"/>
    <w:rsid w:val="00BD4E56"/>
    <w:rsid w:val="00BD5E90"/>
    <w:rsid w:val="00BE15F9"/>
    <w:rsid w:val="00BE38B5"/>
    <w:rsid w:val="00BE60DD"/>
    <w:rsid w:val="00BE6BED"/>
    <w:rsid w:val="00BF1991"/>
    <w:rsid w:val="00BF21E4"/>
    <w:rsid w:val="00BF54FA"/>
    <w:rsid w:val="00BF6AEC"/>
    <w:rsid w:val="00C00C49"/>
    <w:rsid w:val="00C13FFD"/>
    <w:rsid w:val="00C15B5B"/>
    <w:rsid w:val="00C215BB"/>
    <w:rsid w:val="00C2161B"/>
    <w:rsid w:val="00C23B75"/>
    <w:rsid w:val="00C2443E"/>
    <w:rsid w:val="00C253DC"/>
    <w:rsid w:val="00C2601B"/>
    <w:rsid w:val="00C30140"/>
    <w:rsid w:val="00C31A99"/>
    <w:rsid w:val="00C31D6C"/>
    <w:rsid w:val="00C32C77"/>
    <w:rsid w:val="00C34287"/>
    <w:rsid w:val="00C3442B"/>
    <w:rsid w:val="00C377CA"/>
    <w:rsid w:val="00C404A1"/>
    <w:rsid w:val="00C458AF"/>
    <w:rsid w:val="00C54F80"/>
    <w:rsid w:val="00C61F1F"/>
    <w:rsid w:val="00C63670"/>
    <w:rsid w:val="00C636CF"/>
    <w:rsid w:val="00C637BC"/>
    <w:rsid w:val="00C666B6"/>
    <w:rsid w:val="00C66DC4"/>
    <w:rsid w:val="00C74DB2"/>
    <w:rsid w:val="00C7593E"/>
    <w:rsid w:val="00C76645"/>
    <w:rsid w:val="00C76EEF"/>
    <w:rsid w:val="00C837B4"/>
    <w:rsid w:val="00C86E7D"/>
    <w:rsid w:val="00C92D64"/>
    <w:rsid w:val="00C949F2"/>
    <w:rsid w:val="00C95FA2"/>
    <w:rsid w:val="00CA1427"/>
    <w:rsid w:val="00CA5871"/>
    <w:rsid w:val="00CB2622"/>
    <w:rsid w:val="00CB4CD9"/>
    <w:rsid w:val="00CB6508"/>
    <w:rsid w:val="00CB7BE9"/>
    <w:rsid w:val="00CB7E95"/>
    <w:rsid w:val="00CC1D30"/>
    <w:rsid w:val="00CC546C"/>
    <w:rsid w:val="00CC7B81"/>
    <w:rsid w:val="00CD010B"/>
    <w:rsid w:val="00CD06A9"/>
    <w:rsid w:val="00CD64E9"/>
    <w:rsid w:val="00CD741B"/>
    <w:rsid w:val="00CE24AF"/>
    <w:rsid w:val="00CE3BF7"/>
    <w:rsid w:val="00CE4607"/>
    <w:rsid w:val="00CF0942"/>
    <w:rsid w:val="00CF5576"/>
    <w:rsid w:val="00CF6022"/>
    <w:rsid w:val="00D024E4"/>
    <w:rsid w:val="00D03D4F"/>
    <w:rsid w:val="00D04DC7"/>
    <w:rsid w:val="00D056FF"/>
    <w:rsid w:val="00D07EA4"/>
    <w:rsid w:val="00D12758"/>
    <w:rsid w:val="00D1570C"/>
    <w:rsid w:val="00D217A8"/>
    <w:rsid w:val="00D23E6E"/>
    <w:rsid w:val="00D25173"/>
    <w:rsid w:val="00D33071"/>
    <w:rsid w:val="00D34AD3"/>
    <w:rsid w:val="00D37253"/>
    <w:rsid w:val="00D42B3D"/>
    <w:rsid w:val="00D43D96"/>
    <w:rsid w:val="00D45895"/>
    <w:rsid w:val="00D5331F"/>
    <w:rsid w:val="00D5462E"/>
    <w:rsid w:val="00D550BA"/>
    <w:rsid w:val="00D60E45"/>
    <w:rsid w:val="00D64F05"/>
    <w:rsid w:val="00D65581"/>
    <w:rsid w:val="00D71F4D"/>
    <w:rsid w:val="00D71F94"/>
    <w:rsid w:val="00D73B1C"/>
    <w:rsid w:val="00D74D6A"/>
    <w:rsid w:val="00D765A4"/>
    <w:rsid w:val="00D76E73"/>
    <w:rsid w:val="00D76F04"/>
    <w:rsid w:val="00D8105B"/>
    <w:rsid w:val="00D81BA9"/>
    <w:rsid w:val="00D8341B"/>
    <w:rsid w:val="00D848C0"/>
    <w:rsid w:val="00D90094"/>
    <w:rsid w:val="00DA2D01"/>
    <w:rsid w:val="00DA3A6B"/>
    <w:rsid w:val="00DB0CD5"/>
    <w:rsid w:val="00DB4FDB"/>
    <w:rsid w:val="00DC0E48"/>
    <w:rsid w:val="00DC262B"/>
    <w:rsid w:val="00DC2AC6"/>
    <w:rsid w:val="00DD2557"/>
    <w:rsid w:val="00DE7767"/>
    <w:rsid w:val="00DF2BB7"/>
    <w:rsid w:val="00E007F5"/>
    <w:rsid w:val="00E02364"/>
    <w:rsid w:val="00E03C7F"/>
    <w:rsid w:val="00E03E12"/>
    <w:rsid w:val="00E064EB"/>
    <w:rsid w:val="00E078ED"/>
    <w:rsid w:val="00E118D7"/>
    <w:rsid w:val="00E11F7D"/>
    <w:rsid w:val="00E1434B"/>
    <w:rsid w:val="00E16286"/>
    <w:rsid w:val="00E21414"/>
    <w:rsid w:val="00E22BAF"/>
    <w:rsid w:val="00E2420B"/>
    <w:rsid w:val="00E278B7"/>
    <w:rsid w:val="00E27FED"/>
    <w:rsid w:val="00E30A27"/>
    <w:rsid w:val="00E3102B"/>
    <w:rsid w:val="00E3170C"/>
    <w:rsid w:val="00E37E1E"/>
    <w:rsid w:val="00E40E21"/>
    <w:rsid w:val="00E412A8"/>
    <w:rsid w:val="00E446E9"/>
    <w:rsid w:val="00E4654D"/>
    <w:rsid w:val="00E46B1A"/>
    <w:rsid w:val="00E474FA"/>
    <w:rsid w:val="00E4773D"/>
    <w:rsid w:val="00E47EE3"/>
    <w:rsid w:val="00E50687"/>
    <w:rsid w:val="00E520D0"/>
    <w:rsid w:val="00E52113"/>
    <w:rsid w:val="00E5473D"/>
    <w:rsid w:val="00E54D7E"/>
    <w:rsid w:val="00E55522"/>
    <w:rsid w:val="00E5603E"/>
    <w:rsid w:val="00E56719"/>
    <w:rsid w:val="00E56806"/>
    <w:rsid w:val="00E600ED"/>
    <w:rsid w:val="00E61B50"/>
    <w:rsid w:val="00E641F4"/>
    <w:rsid w:val="00E6463F"/>
    <w:rsid w:val="00E71D0A"/>
    <w:rsid w:val="00E7404D"/>
    <w:rsid w:val="00E74C99"/>
    <w:rsid w:val="00E816ED"/>
    <w:rsid w:val="00E831F7"/>
    <w:rsid w:val="00E86596"/>
    <w:rsid w:val="00E9069C"/>
    <w:rsid w:val="00E930C5"/>
    <w:rsid w:val="00E95E7E"/>
    <w:rsid w:val="00E975B8"/>
    <w:rsid w:val="00EA0206"/>
    <w:rsid w:val="00EA26FC"/>
    <w:rsid w:val="00EA7579"/>
    <w:rsid w:val="00EB2E03"/>
    <w:rsid w:val="00EB53D7"/>
    <w:rsid w:val="00EB5C61"/>
    <w:rsid w:val="00EB665E"/>
    <w:rsid w:val="00EC4EA1"/>
    <w:rsid w:val="00EC52AA"/>
    <w:rsid w:val="00EC654C"/>
    <w:rsid w:val="00EC71F4"/>
    <w:rsid w:val="00ED1BCF"/>
    <w:rsid w:val="00EE14F1"/>
    <w:rsid w:val="00EF35A7"/>
    <w:rsid w:val="00EF53CB"/>
    <w:rsid w:val="00EF6774"/>
    <w:rsid w:val="00F0150A"/>
    <w:rsid w:val="00F02B40"/>
    <w:rsid w:val="00F03B70"/>
    <w:rsid w:val="00F065C8"/>
    <w:rsid w:val="00F10248"/>
    <w:rsid w:val="00F11E1D"/>
    <w:rsid w:val="00F124BE"/>
    <w:rsid w:val="00F127DF"/>
    <w:rsid w:val="00F166FD"/>
    <w:rsid w:val="00F224E5"/>
    <w:rsid w:val="00F22FE3"/>
    <w:rsid w:val="00F23DD8"/>
    <w:rsid w:val="00F26115"/>
    <w:rsid w:val="00F26CAF"/>
    <w:rsid w:val="00F33A30"/>
    <w:rsid w:val="00F350F1"/>
    <w:rsid w:val="00F37833"/>
    <w:rsid w:val="00F43012"/>
    <w:rsid w:val="00F439F9"/>
    <w:rsid w:val="00F43F4C"/>
    <w:rsid w:val="00F440D4"/>
    <w:rsid w:val="00F45145"/>
    <w:rsid w:val="00F54AD2"/>
    <w:rsid w:val="00F55022"/>
    <w:rsid w:val="00F60A31"/>
    <w:rsid w:val="00F60F11"/>
    <w:rsid w:val="00F63A28"/>
    <w:rsid w:val="00F63CFF"/>
    <w:rsid w:val="00F720DA"/>
    <w:rsid w:val="00F74949"/>
    <w:rsid w:val="00F74CFF"/>
    <w:rsid w:val="00F758AF"/>
    <w:rsid w:val="00F7681E"/>
    <w:rsid w:val="00F77D01"/>
    <w:rsid w:val="00F824FA"/>
    <w:rsid w:val="00F837FD"/>
    <w:rsid w:val="00F83C93"/>
    <w:rsid w:val="00F87EA9"/>
    <w:rsid w:val="00F91143"/>
    <w:rsid w:val="00F92C83"/>
    <w:rsid w:val="00F95607"/>
    <w:rsid w:val="00FA0305"/>
    <w:rsid w:val="00FA1DFB"/>
    <w:rsid w:val="00FA4F26"/>
    <w:rsid w:val="00FB12EC"/>
    <w:rsid w:val="00FB3269"/>
    <w:rsid w:val="00FC0058"/>
    <w:rsid w:val="00FC2421"/>
    <w:rsid w:val="00FC2C27"/>
    <w:rsid w:val="00FC4B01"/>
    <w:rsid w:val="00FD0378"/>
    <w:rsid w:val="00FD0ABC"/>
    <w:rsid w:val="00FD3B45"/>
    <w:rsid w:val="00FD5A52"/>
    <w:rsid w:val="00FE0584"/>
    <w:rsid w:val="00FE5E1B"/>
    <w:rsid w:val="00FF51E9"/>
    <w:rsid w:val="00FF63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E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42"/>
    <w:pPr>
      <w:overflowPunct w:val="0"/>
      <w:autoSpaceDE w:val="0"/>
      <w:autoSpaceDN w:val="0"/>
      <w:adjustRightInd w:val="0"/>
      <w:textAlignment w:val="baseline"/>
    </w:pPr>
    <w:rPr>
      <w:lang w:eastAsia="en-US"/>
    </w:rPr>
  </w:style>
  <w:style w:type="paragraph" w:styleId="Titre1">
    <w:name w:val="heading 1"/>
    <w:basedOn w:val="Normal"/>
    <w:next w:val="Normal"/>
    <w:qFormat/>
    <w:rsid w:val="00825CD7"/>
    <w:pPr>
      <w:keepNext/>
      <w:overflowPunct/>
      <w:autoSpaceDE/>
      <w:autoSpaceDN/>
      <w:adjustRightInd/>
      <w:textAlignment w:val="auto"/>
      <w:outlineLvl w:val="0"/>
    </w:pPr>
    <w:rPr>
      <w:rFonts w:ascii="Arial" w:hAnsi="Arial"/>
      <w:b/>
      <w:bCs/>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Textedebulles">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Marquedecommentaire">
    <w:name w:val="annotation reference"/>
    <w:uiPriority w:val="99"/>
    <w:semiHidden/>
    <w:rsid w:val="00B06BA5"/>
    <w:rPr>
      <w:sz w:val="16"/>
      <w:szCs w:val="16"/>
    </w:rPr>
  </w:style>
  <w:style w:type="paragraph" w:styleId="Commentaire">
    <w:name w:val="annotation text"/>
    <w:basedOn w:val="Normal"/>
    <w:link w:val="CommentaireCar"/>
    <w:uiPriority w:val="99"/>
    <w:rsid w:val="00B06BA5"/>
  </w:style>
  <w:style w:type="paragraph" w:styleId="Objetducommentaire">
    <w:name w:val="annotation subject"/>
    <w:basedOn w:val="Commentaire"/>
    <w:next w:val="Commentaire"/>
    <w:semiHidden/>
    <w:rsid w:val="00B06BA5"/>
    <w:rPr>
      <w:b/>
      <w:bCs/>
    </w:rPr>
  </w:style>
  <w:style w:type="paragraph" w:customStyle="1" w:styleId="ColourfulShadingAccent11">
    <w:name w:val="Colourful Shading – Accent 11"/>
    <w:hidden/>
    <w:uiPriority w:val="99"/>
    <w:semiHidden/>
    <w:rsid w:val="00B71B55"/>
    <w:rPr>
      <w:lang w:eastAsia="en-US"/>
    </w:rPr>
  </w:style>
  <w:style w:type="character" w:customStyle="1" w:styleId="PieddepageCar">
    <w:name w:val="Pied de page Car"/>
    <w:link w:val="Pieddepage"/>
    <w:uiPriority w:val="99"/>
    <w:rsid w:val="00A42B6D"/>
    <w:rPr>
      <w:lang w:eastAsia="en-US"/>
    </w:rPr>
  </w:style>
  <w:style w:type="paragraph" w:customStyle="1" w:styleId="ColourfulListAccent11">
    <w:name w:val="Colourful List – Accent 1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Titre">
    <w:name w:val="Title"/>
    <w:basedOn w:val="Normal"/>
    <w:next w:val="Normal"/>
    <w:link w:val="TitreCar"/>
    <w:uiPriority w:val="10"/>
    <w:qFormat/>
    <w:rsid w:val="00DF2BB7"/>
    <w:pPr>
      <w:spacing w:before="240" w:after="60"/>
      <w:jc w:val="center"/>
      <w:outlineLvl w:val="0"/>
    </w:pPr>
    <w:rPr>
      <w:rFonts w:ascii="Cambria" w:eastAsia="PMingLiU" w:hAnsi="Cambria"/>
      <w:b/>
      <w:bCs/>
      <w:kern w:val="28"/>
      <w:sz w:val="32"/>
      <w:szCs w:val="32"/>
    </w:rPr>
  </w:style>
  <w:style w:type="character" w:customStyle="1" w:styleId="TitreCar">
    <w:name w:val="Titre Car"/>
    <w:link w:val="Titre"/>
    <w:uiPriority w:val="10"/>
    <w:rsid w:val="00DF2BB7"/>
    <w:rPr>
      <w:rFonts w:ascii="Cambria" w:eastAsia="PMingLiU" w:hAnsi="Cambria" w:cs="Times New Roman"/>
      <w:b/>
      <w:bCs/>
      <w:kern w:val="28"/>
      <w:sz w:val="32"/>
      <w:szCs w:val="32"/>
      <w:lang w:eastAsia="en-US"/>
    </w:rPr>
  </w:style>
  <w:style w:type="paragraph" w:styleId="Sansinterligne">
    <w:name w:val="No Spacing"/>
    <w:uiPriority w:val="1"/>
    <w:qFormat/>
    <w:rsid w:val="00DF2BB7"/>
    <w:pPr>
      <w:overflowPunct w:val="0"/>
      <w:autoSpaceDE w:val="0"/>
      <w:autoSpaceDN w:val="0"/>
      <w:adjustRightInd w:val="0"/>
      <w:textAlignment w:val="baseline"/>
    </w:pPr>
    <w:rPr>
      <w:lang w:eastAsia="en-US"/>
    </w:rPr>
  </w:style>
  <w:style w:type="paragraph" w:styleId="Rvision">
    <w:name w:val="Revision"/>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Paragraphedeliste">
    <w:name w:val="List Paragraph"/>
    <w:basedOn w:val="Normal"/>
    <w:uiPriority w:val="34"/>
    <w:qFormat/>
    <w:rsid w:val="003B2434"/>
    <w:pPr>
      <w:overflowPunct/>
      <w:autoSpaceDE/>
      <w:autoSpaceDN/>
      <w:adjustRightInd/>
      <w:ind w:left="720"/>
      <w:contextualSpacing/>
      <w:textAlignment w:val="auto"/>
    </w:pPr>
    <w:rPr>
      <w:rFonts w:eastAsia="SimSun"/>
      <w:sz w:val="24"/>
      <w:szCs w:val="24"/>
      <w:lang w:eastAsia="zh-CN"/>
    </w:rPr>
  </w:style>
  <w:style w:type="character" w:customStyle="1" w:styleId="CommentaireCar">
    <w:name w:val="Commentaire Car"/>
    <w:link w:val="Commentaire"/>
    <w:uiPriority w:val="99"/>
    <w:rsid w:val="005C480A"/>
    <w:rPr>
      <w:lang w:eastAsia="en-US"/>
    </w:rPr>
  </w:style>
  <w:style w:type="paragraph" w:styleId="Notedebasdepage">
    <w:name w:val="footnote text"/>
    <w:basedOn w:val="Normal"/>
    <w:link w:val="NotedebasdepageCar"/>
    <w:uiPriority w:val="99"/>
    <w:semiHidden/>
    <w:unhideWhenUsed/>
    <w:rsid w:val="00C636CF"/>
  </w:style>
  <w:style w:type="character" w:customStyle="1" w:styleId="NotedebasdepageCar">
    <w:name w:val="Note de bas de page Car"/>
    <w:link w:val="Notedebasdepage"/>
    <w:uiPriority w:val="99"/>
    <w:semiHidden/>
    <w:rsid w:val="00C636CF"/>
    <w:rPr>
      <w:lang w:val="fr-FR" w:eastAsia="en-US"/>
    </w:rPr>
  </w:style>
  <w:style w:type="character" w:styleId="Appelnotedebasdep">
    <w:name w:val="footnote reference"/>
    <w:uiPriority w:val="99"/>
    <w:semiHidden/>
    <w:unhideWhenUsed/>
    <w:rsid w:val="00C636CF"/>
    <w:rPr>
      <w:vertAlign w:val="superscript"/>
    </w:rPr>
  </w:style>
  <w:style w:type="table" w:styleId="Grilledutableau">
    <w:name w:val="Table Grid"/>
    <w:basedOn w:val="TableauNormal"/>
    <w:uiPriority w:val="59"/>
    <w:rsid w:val="00EA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A279A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942"/>
    <w:pPr>
      <w:overflowPunct w:val="0"/>
      <w:autoSpaceDE w:val="0"/>
      <w:autoSpaceDN w:val="0"/>
      <w:adjustRightInd w:val="0"/>
      <w:textAlignment w:val="baseline"/>
    </w:pPr>
    <w:rPr>
      <w:lang w:eastAsia="en-US"/>
    </w:rPr>
  </w:style>
  <w:style w:type="paragraph" w:styleId="Titre1">
    <w:name w:val="heading 1"/>
    <w:basedOn w:val="Normal"/>
    <w:next w:val="Normal"/>
    <w:qFormat/>
    <w:rsid w:val="00825CD7"/>
    <w:pPr>
      <w:keepNext/>
      <w:overflowPunct/>
      <w:autoSpaceDE/>
      <w:autoSpaceDN/>
      <w:adjustRightInd/>
      <w:textAlignment w:val="auto"/>
      <w:outlineLvl w:val="0"/>
    </w:pPr>
    <w:rPr>
      <w:rFonts w:ascii="Arial" w:hAnsi="Arial"/>
      <w:b/>
      <w:bCs/>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Textedebulles">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Marquedecommentaire">
    <w:name w:val="annotation reference"/>
    <w:uiPriority w:val="99"/>
    <w:semiHidden/>
    <w:rsid w:val="00B06BA5"/>
    <w:rPr>
      <w:sz w:val="16"/>
      <w:szCs w:val="16"/>
    </w:rPr>
  </w:style>
  <w:style w:type="paragraph" w:styleId="Commentaire">
    <w:name w:val="annotation text"/>
    <w:basedOn w:val="Normal"/>
    <w:link w:val="CommentaireCar"/>
    <w:uiPriority w:val="99"/>
    <w:rsid w:val="00B06BA5"/>
  </w:style>
  <w:style w:type="paragraph" w:styleId="Objetducommentaire">
    <w:name w:val="annotation subject"/>
    <w:basedOn w:val="Commentaire"/>
    <w:next w:val="Commentaire"/>
    <w:semiHidden/>
    <w:rsid w:val="00B06BA5"/>
    <w:rPr>
      <w:b/>
      <w:bCs/>
    </w:rPr>
  </w:style>
  <w:style w:type="paragraph" w:customStyle="1" w:styleId="ColourfulShadingAccent11">
    <w:name w:val="Colourful Shading – Accent 11"/>
    <w:hidden/>
    <w:uiPriority w:val="99"/>
    <w:semiHidden/>
    <w:rsid w:val="00B71B55"/>
    <w:rPr>
      <w:lang w:eastAsia="en-US"/>
    </w:rPr>
  </w:style>
  <w:style w:type="character" w:customStyle="1" w:styleId="PieddepageCar">
    <w:name w:val="Pied de page Car"/>
    <w:link w:val="Pieddepage"/>
    <w:uiPriority w:val="99"/>
    <w:rsid w:val="00A42B6D"/>
    <w:rPr>
      <w:lang w:eastAsia="en-US"/>
    </w:rPr>
  </w:style>
  <w:style w:type="paragraph" w:customStyle="1" w:styleId="ColourfulListAccent11">
    <w:name w:val="Colourful List – Accent 1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Titre">
    <w:name w:val="Title"/>
    <w:basedOn w:val="Normal"/>
    <w:next w:val="Normal"/>
    <w:link w:val="TitreCar"/>
    <w:uiPriority w:val="10"/>
    <w:qFormat/>
    <w:rsid w:val="00DF2BB7"/>
    <w:pPr>
      <w:spacing w:before="240" w:after="60"/>
      <w:jc w:val="center"/>
      <w:outlineLvl w:val="0"/>
    </w:pPr>
    <w:rPr>
      <w:rFonts w:ascii="Cambria" w:eastAsia="PMingLiU" w:hAnsi="Cambria"/>
      <w:b/>
      <w:bCs/>
      <w:kern w:val="28"/>
      <w:sz w:val="32"/>
      <w:szCs w:val="32"/>
    </w:rPr>
  </w:style>
  <w:style w:type="character" w:customStyle="1" w:styleId="TitreCar">
    <w:name w:val="Titre Car"/>
    <w:link w:val="Titre"/>
    <w:uiPriority w:val="10"/>
    <w:rsid w:val="00DF2BB7"/>
    <w:rPr>
      <w:rFonts w:ascii="Cambria" w:eastAsia="PMingLiU" w:hAnsi="Cambria" w:cs="Times New Roman"/>
      <w:b/>
      <w:bCs/>
      <w:kern w:val="28"/>
      <w:sz w:val="32"/>
      <w:szCs w:val="32"/>
      <w:lang w:eastAsia="en-US"/>
    </w:rPr>
  </w:style>
  <w:style w:type="paragraph" w:styleId="Sansinterligne">
    <w:name w:val="No Spacing"/>
    <w:uiPriority w:val="1"/>
    <w:qFormat/>
    <w:rsid w:val="00DF2BB7"/>
    <w:pPr>
      <w:overflowPunct w:val="0"/>
      <w:autoSpaceDE w:val="0"/>
      <w:autoSpaceDN w:val="0"/>
      <w:adjustRightInd w:val="0"/>
      <w:textAlignment w:val="baseline"/>
    </w:pPr>
    <w:rPr>
      <w:lang w:eastAsia="en-US"/>
    </w:rPr>
  </w:style>
  <w:style w:type="paragraph" w:styleId="Rvision">
    <w:name w:val="Revision"/>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Paragraphedeliste">
    <w:name w:val="List Paragraph"/>
    <w:basedOn w:val="Normal"/>
    <w:uiPriority w:val="34"/>
    <w:qFormat/>
    <w:rsid w:val="003B2434"/>
    <w:pPr>
      <w:overflowPunct/>
      <w:autoSpaceDE/>
      <w:autoSpaceDN/>
      <w:adjustRightInd/>
      <w:ind w:left="720"/>
      <w:contextualSpacing/>
      <w:textAlignment w:val="auto"/>
    </w:pPr>
    <w:rPr>
      <w:rFonts w:eastAsia="SimSun"/>
      <w:sz w:val="24"/>
      <w:szCs w:val="24"/>
      <w:lang w:eastAsia="zh-CN"/>
    </w:rPr>
  </w:style>
  <w:style w:type="character" w:customStyle="1" w:styleId="CommentaireCar">
    <w:name w:val="Commentaire Car"/>
    <w:link w:val="Commentaire"/>
    <w:uiPriority w:val="99"/>
    <w:rsid w:val="005C480A"/>
    <w:rPr>
      <w:lang w:eastAsia="en-US"/>
    </w:rPr>
  </w:style>
  <w:style w:type="paragraph" w:styleId="Notedebasdepage">
    <w:name w:val="footnote text"/>
    <w:basedOn w:val="Normal"/>
    <w:link w:val="NotedebasdepageCar"/>
    <w:uiPriority w:val="99"/>
    <w:semiHidden/>
    <w:unhideWhenUsed/>
    <w:rsid w:val="00C636CF"/>
  </w:style>
  <w:style w:type="character" w:customStyle="1" w:styleId="NotedebasdepageCar">
    <w:name w:val="Note de bas de page Car"/>
    <w:link w:val="Notedebasdepage"/>
    <w:uiPriority w:val="99"/>
    <w:semiHidden/>
    <w:rsid w:val="00C636CF"/>
    <w:rPr>
      <w:lang w:val="fr-FR" w:eastAsia="en-US"/>
    </w:rPr>
  </w:style>
  <w:style w:type="character" w:styleId="Appelnotedebasdep">
    <w:name w:val="footnote reference"/>
    <w:uiPriority w:val="99"/>
    <w:semiHidden/>
    <w:unhideWhenUsed/>
    <w:rsid w:val="00C636CF"/>
    <w:rPr>
      <w:vertAlign w:val="superscript"/>
    </w:rPr>
  </w:style>
  <w:style w:type="table" w:styleId="Grilledutableau">
    <w:name w:val="Table Grid"/>
    <w:basedOn w:val="TableauNormal"/>
    <w:uiPriority w:val="59"/>
    <w:rsid w:val="00EA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A27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382563984">
      <w:bodyDiv w:val="1"/>
      <w:marLeft w:val="0"/>
      <w:marRight w:val="0"/>
      <w:marTop w:val="0"/>
      <w:marBottom w:val="0"/>
      <w:divBdr>
        <w:top w:val="none" w:sz="0" w:space="0" w:color="auto"/>
        <w:left w:val="none" w:sz="0" w:space="0" w:color="auto"/>
        <w:bottom w:val="none" w:sz="0" w:space="0" w:color="auto"/>
        <w:right w:val="none" w:sz="0" w:space="0" w:color="auto"/>
      </w:divBdr>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108356164">
      <w:bodyDiv w:val="1"/>
      <w:marLeft w:val="0"/>
      <w:marRight w:val="0"/>
      <w:marTop w:val="0"/>
      <w:marBottom w:val="0"/>
      <w:divBdr>
        <w:top w:val="none" w:sz="0" w:space="0" w:color="auto"/>
        <w:left w:val="none" w:sz="0" w:space="0" w:color="auto"/>
        <w:bottom w:val="none" w:sz="0" w:space="0" w:color="auto"/>
        <w:right w:val="none" w:sz="0" w:space="0" w:color="auto"/>
      </w:divBdr>
      <w:divsChild>
        <w:div w:id="1852135008">
          <w:marLeft w:val="0"/>
          <w:marRight w:val="0"/>
          <w:marTop w:val="0"/>
          <w:marBottom w:val="0"/>
          <w:divBdr>
            <w:top w:val="none" w:sz="0" w:space="0" w:color="auto"/>
            <w:left w:val="none" w:sz="0" w:space="0" w:color="auto"/>
            <w:bottom w:val="none" w:sz="0" w:space="0" w:color="auto"/>
            <w:right w:val="none" w:sz="0" w:space="0" w:color="auto"/>
          </w:divBdr>
        </w:div>
      </w:divsChild>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4" ma:contentTypeDescription="Upload Form" ma:contentTypeScope="" ma:versionID="b0ac7375a1542248afa19cbeec9fa4a3">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ef7da9a30dc23e8b74e668310993f0ce"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ICRCIMP_Topic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6" nillable="true" ma:taxonomy="true" ma:internalName="ICRCIMP_Topic_H" ma:taxonomyFieldName="Key_x0020_Issue"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e529b524e52949d1b285bf092306d542" ma:index="38"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2019-05-23T22:00:00+00:00</Period_x0020_start>
    <TaxCatchAll xmlns="a8a2af44-4b8d-404b-a8bd-4186350a523c">
      <Value>9</Value>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Topic_H xmlns="c40b0493-c1b9-4c2c-bbab-062dda7910f3">
      <Terms xmlns="http://schemas.microsoft.com/office/infopath/2007/PartnerControls"/>
    </ICRCIMP_Topic_H>
    <ICRCIMP_RMTransfer xmlns="c40b0493-c1b9-4c2c-bbab-062dda7910f3">
      <Url xsi:nil="true"/>
      <Description xsi:nil="true"/>
    </ICRCIMP_RMTransfer>
    <ICRCIMP_IsRecord xmlns="c40b0493-c1b9-4c2c-bbab-062dda7910f3">false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TermInfo xmlns="http://schemas.microsoft.com/office/infopath/2007/PartnerControls">
          <TermName xmlns="http://schemas.microsoft.com/office/infopath/2007/PartnerControls">GVA_DP_JUR_THEM</TermName>
          <TermId xmlns="http://schemas.microsoft.com/office/infopath/2007/PartnerControls">2a8bb315-ac83-4d32-852c-f31d75bd8fcd</TermId>
        </TermInfo>
      </Term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8AF3-FA56-4356-B09B-4F6669F1FDF3}">
  <ds:schemaRefs>
    <ds:schemaRef ds:uri="Microsoft.SharePoint.Taxonomy.ContentTypeSync"/>
  </ds:schemaRefs>
</ds:datastoreItem>
</file>

<file path=customXml/itemProps2.xml><?xml version="1.0" encoding="utf-8"?>
<ds:datastoreItem xmlns:ds="http://schemas.openxmlformats.org/officeDocument/2006/customXml" ds:itemID="{28E17BC9-CB13-452A-9873-729F10E29E4C}">
  <ds:schemaRefs>
    <ds:schemaRef ds:uri="http://schemas.microsoft.com/sharepoint/v3/contenttype/forms"/>
  </ds:schemaRefs>
</ds:datastoreItem>
</file>

<file path=customXml/itemProps3.xml><?xml version="1.0" encoding="utf-8"?>
<ds:datastoreItem xmlns:ds="http://schemas.openxmlformats.org/officeDocument/2006/customXml" ds:itemID="{B938E820-7EF2-44CC-9A25-D7AC37F6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9231C-D341-4D17-94BF-19C198B06863}">
  <ds:schemaRefs>
    <ds:schemaRef ds:uri="http://schemas.microsoft.com/office/2006/metadata/longProperties"/>
  </ds:schemaRefs>
</ds:datastoreItem>
</file>

<file path=customXml/itemProps5.xml><?xml version="1.0" encoding="utf-8"?>
<ds:datastoreItem xmlns:ds="http://schemas.openxmlformats.org/officeDocument/2006/customXml" ds:itemID="{D2971809-72BD-4451-95A1-D55A45FBD0F8}">
  <ds:schemaRefs>
    <ds:schemaRef ds:uri="http://schemas.microsoft.com/sharepoint/events"/>
  </ds:schemaRefs>
</ds:datastoreItem>
</file>

<file path=customXml/itemProps6.xml><?xml version="1.0" encoding="utf-8"?>
<ds:datastoreItem xmlns:ds="http://schemas.openxmlformats.org/officeDocument/2006/customXml" ds:itemID="{5B02A4BA-AD23-4E94-93DB-B4686BFF0446}">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7.xml><?xml version="1.0" encoding="utf-8"?>
<ds:datastoreItem xmlns:ds="http://schemas.openxmlformats.org/officeDocument/2006/customXml" ds:itemID="{9FEB897F-1CAD-4952-898E-BC6CB29A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1911</Words>
  <Characters>10515</Characters>
  <Application>Microsoft Office Word</Application>
  <DocSecurity>0</DocSecurity>
  <Lines>87</Lines>
  <Paragraphs>24</Paragraphs>
  <ScaleCrop>false</ScaleCrop>
  <HeadingPairs>
    <vt:vector size="6" baseType="variant">
      <vt:variant>
        <vt:lpstr>Titre</vt:lpstr>
      </vt:variant>
      <vt:variant>
        <vt:i4>1</vt:i4>
      </vt:variant>
      <vt:variant>
        <vt:lpstr>Title</vt:lpstr>
      </vt:variant>
      <vt:variant>
        <vt:i4>1</vt:i4>
      </vt:variant>
      <vt:variant>
        <vt:lpstr>Tittel</vt:lpstr>
      </vt:variant>
      <vt:variant>
        <vt:i4>1</vt:i4>
      </vt:variant>
    </vt:vector>
  </HeadingPairs>
  <TitlesOfParts>
    <vt:vector size="3" baseType="lpstr">
      <vt:lpstr>International Conference of the Red Cross and Red Crescent</vt:lpstr>
      <vt:lpstr>International Conference of the Red Cross and Red Crescent</vt:lpstr>
      <vt:lpstr>International Conference of the Red Cross and Red Crescent</vt:lpstr>
    </vt:vector>
  </TitlesOfParts>
  <Company>ICRC</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Ariane</cp:lastModifiedBy>
  <cp:revision>18</cp:revision>
  <cp:lastPrinted>2019-09-17T10:20:00Z</cp:lastPrinted>
  <dcterms:created xsi:type="dcterms:W3CDTF">2019-09-10T06:30:00Z</dcterms:created>
  <dcterms:modified xsi:type="dcterms:W3CDTF">2019-09-17T12:35:00Z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ti_ItemDeclaredRecord">
    <vt:lpwstr/>
  </property>
  <property fmtid="{D5CDD505-2E9C-101B-9397-08002B2CF9AE}" pid="3" name="_vti_ItemHoldRecordStatus">
    <vt:lpwstr/>
  </property>
  <property fmtid="{D5CDD505-2E9C-101B-9397-08002B2CF9AE}" pid="4" name="ecm_RecordRestrictions">
    <vt:lpwstr/>
  </property>
  <property fmtid="{D5CDD505-2E9C-101B-9397-08002B2CF9AE}" pid="5" name="ICRCIMP_IsRecord">
    <vt:lpwstr>True</vt:lpwstr>
  </property>
  <property fmtid="{D5CDD505-2E9C-101B-9397-08002B2CF9AE}" pid="6" name="Period start">
    <vt:lpwstr>2019-05-24T00:00:00Z</vt:lpwstr>
  </property>
  <property fmtid="{D5CDD505-2E9C-101B-9397-08002B2CF9AE}" pid="7" name="ICRCIMP_RMIdentifier">
    <vt:lpwstr/>
  </property>
  <property fmtid="{D5CDD505-2E9C-101B-9397-08002B2CF9AE}" pid="8" name="ICRCIMP_RMUnitInCharge_H">
    <vt:lpwstr>GVA_DP_JUR_THEM|2a8bb315-ac83-4d32-852c-f31d75bd8fcd</vt:lpwstr>
  </property>
  <property fmtid="{D5CDD505-2E9C-101B-9397-08002B2CF9AE}" pid="9" name="ICRCIMP_Keyword_H">
    <vt:lpwstr/>
  </property>
  <property fmtid="{D5CDD505-2E9C-101B-9397-08002B2CF9AE}" pid="10" name="TaxCatchAll">
    <vt:lpwstr>9;#GVA_DP_JUR_THEM|2a8bb315-ac83-4d32-852c-f31d75bd8fcd;#5;#Law|ebb78456-2cef-4fee-ad6e-a02d8cf12b83;#2;#Internal|23eb6094-56fc-4ad4-8ae2-cf1575a694f0;#1;#No Country|1f55df4f-c103-4303-b974-426a8e7d1d06</vt:lpwstr>
  </property>
  <property fmtid="{D5CDD505-2E9C-101B-9397-08002B2CF9AE}" pid="11" name="ICRCIMP_Topic_H">
    <vt:lpwstr/>
  </property>
  <property fmtid="{D5CDD505-2E9C-101B-9397-08002B2CF9AE}" pid="12" name="ICRCIMP_RMTransfer">
    <vt:lpwstr>, </vt:lpwstr>
  </property>
  <property fmtid="{D5CDD505-2E9C-101B-9397-08002B2CF9AE}" pid="13" name="IsIntranet">
    <vt:lpwstr>0</vt:lpwstr>
  </property>
  <property fmtid="{D5CDD505-2E9C-101B-9397-08002B2CF9AE}" pid="14" name="RatingCount">
    <vt:lpwstr/>
  </property>
  <property fmtid="{D5CDD505-2E9C-101B-9397-08002B2CF9AE}" pid="15" name="ICRCIMP_OrganizationalAccronym_H">
    <vt:lpwstr/>
  </property>
  <property fmtid="{D5CDD505-2E9C-101B-9397-08002B2CF9AE}" pid="16" name="ICRCIMP_IsFocus">
    <vt:lpwstr>0</vt:lpwstr>
  </property>
  <property fmtid="{D5CDD505-2E9C-101B-9397-08002B2CF9AE}" pid="17" name="ICRCIMP_Country_H">
    <vt:lpwstr>No Country|1f55df4f-c103-4303-b974-426a8e7d1d06</vt:lpwstr>
  </property>
  <property fmtid="{D5CDD505-2E9C-101B-9397-08002B2CF9AE}" pid="18" name="AverageRating">
    <vt:lpwstr/>
  </property>
  <property fmtid="{D5CDD505-2E9C-101B-9397-08002B2CF9AE}" pid="19" name="ICRCIMP_DocumentType_H">
    <vt:lpwstr/>
  </property>
  <property fmtid="{D5CDD505-2E9C-101B-9397-08002B2CF9AE}" pid="20" name="ICRCIMP_IHT_H">
    <vt:lpwstr>Internal|23eb6094-56fc-4ad4-8ae2-cf1575a694f0</vt:lpwstr>
  </property>
  <property fmtid="{D5CDD505-2E9C-101B-9397-08002B2CF9AE}" pid="21" name="ICRCIMP_BusinessFunction_H">
    <vt:lpwstr>Law|ebb78456-2cef-4fee-ad6e-a02d8cf12b83</vt:lpwstr>
  </property>
  <property fmtid="{D5CDD505-2E9C-101B-9397-08002B2CF9AE}" pid="22" name="ICRCIMP_IHT">
    <vt:lpwstr>2;#Internal|23eb6094-56fc-4ad4-8ae2-cf1575a694f0</vt:lpwstr>
  </property>
  <property fmtid="{D5CDD505-2E9C-101B-9397-08002B2CF9AE}" pid="23" name="ICRCIMP_Keyword">
    <vt:lpwstr/>
  </property>
  <property fmtid="{D5CDD505-2E9C-101B-9397-08002B2CF9AE}" pid="24" name="ICRCIMP_BusinessFunction">
    <vt:lpwstr>5;#Law|ebb78456-2cef-4fee-ad6e-a02d8cf12b83</vt:lpwstr>
  </property>
  <property fmtid="{D5CDD505-2E9C-101B-9397-08002B2CF9AE}" pid="25" name="ICRCIMP_DocumentType">
    <vt:lpwstr/>
  </property>
  <property fmtid="{D5CDD505-2E9C-101B-9397-08002B2CF9AE}" pid="26" name="Key Issue">
    <vt:lpwstr/>
  </property>
  <property fmtid="{D5CDD505-2E9C-101B-9397-08002B2CF9AE}" pid="27" name="ICRCIMP_ManageAccess">
    <vt:lpwstr>False</vt:lpwstr>
  </property>
  <property fmtid="{D5CDD505-2E9C-101B-9397-08002B2CF9AE}" pid="28" name="ICRCIMP_Country">
    <vt:lpwstr>1;#No Country|1f55df4f-c103-4303-b974-426a8e7d1d06</vt:lpwstr>
  </property>
  <property fmtid="{D5CDD505-2E9C-101B-9397-08002B2CF9AE}" pid="29" name="ICRCIMP_RMUnitInCharge">
    <vt:lpwstr>9;#GVA_DP_JUR_THEM|2a8bb315-ac83-4d32-852c-f31d75bd8fcd</vt:lpwstr>
  </property>
  <property fmtid="{D5CDD505-2E9C-101B-9397-08002B2CF9AE}" pid="30" name="ICRCIMP_OrganizationalAccronym">
    <vt:lpwstr/>
  </property>
  <property fmtid="{D5CDD505-2E9C-101B-9397-08002B2CF9AE}" pid="31" name="_dlc_DocId">
    <vt:lpwstr>TSJUR-16-8123</vt:lpwstr>
  </property>
  <property fmtid="{D5CDD505-2E9C-101B-9397-08002B2CF9AE}" pid="32" name="_dlc_DocIdItemGuid">
    <vt:lpwstr>6116e725-d855-418b-958a-535846c8ffaa</vt:lpwstr>
  </property>
  <property fmtid="{D5CDD505-2E9C-101B-9397-08002B2CF9AE}" pid="33" name="_dlc_DocIdUrl">
    <vt:lpwstr>https://collab.ext.icrc.org/sites/TS_JUR/_layouts/15/DocIdRedir.aspx?ID=TSJUR-16-8123, TSJUR-16-8123</vt:lpwstr>
  </property>
  <property fmtid="{D5CDD505-2E9C-101B-9397-08002B2CF9AE}" pid="34" name="ICRCIMP_KeyIssue">
    <vt:lpwstr/>
  </property>
  <property fmtid="{D5CDD505-2E9C-101B-9397-08002B2CF9AE}" pid="35" name="e529b524e52949d1b285bf092306d542">
    <vt:lpwstr/>
  </property>
  <property fmtid="{D5CDD505-2E9C-101B-9397-08002B2CF9AE}" pid="36" name="Period end">
    <vt:lpwstr/>
  </property>
</Properties>
</file>