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177C0" w14:textId="05ED6993" w:rsidR="00B74D3F" w:rsidRPr="00C9494D" w:rsidRDefault="00456819" w:rsidP="00435652">
      <w:pPr>
        <w:pStyle w:val="BodySingle"/>
        <w:jc w:val="center"/>
        <w:rPr>
          <w:rFonts w:cs="Arial"/>
          <w:sz w:val="22"/>
          <w:szCs w:val="22"/>
          <w:lang w:val="es-ES_tradnl"/>
        </w:rPr>
      </w:pPr>
      <w:r>
        <w:rPr>
          <w:noProof/>
          <w:lang w:val="fr-CH" w:eastAsia="fr-CH"/>
        </w:rPr>
        <w:drawing>
          <wp:inline distT="0" distB="0" distL="0" distR="0" wp14:anchorId="1D7C0F57" wp14:editId="7701F021">
            <wp:extent cx="3602990" cy="920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2990" cy="920115"/>
                    </a:xfrm>
                    <a:prstGeom prst="rect">
                      <a:avLst/>
                    </a:prstGeom>
                    <a:noFill/>
                    <a:ln>
                      <a:noFill/>
                    </a:ln>
                  </pic:spPr>
                </pic:pic>
              </a:graphicData>
            </a:graphic>
          </wp:inline>
        </w:drawing>
      </w:r>
    </w:p>
    <w:p w14:paraId="75914DCA" w14:textId="77777777" w:rsidR="00B74D3F" w:rsidRPr="00C9494D" w:rsidRDefault="00B74D3F" w:rsidP="00435652">
      <w:pPr>
        <w:pStyle w:val="BodySingle"/>
        <w:jc w:val="center"/>
        <w:rPr>
          <w:rFonts w:cs="Arial"/>
          <w:sz w:val="22"/>
          <w:szCs w:val="22"/>
          <w:lang w:val="es-ES_tradnl"/>
        </w:rPr>
      </w:pPr>
    </w:p>
    <w:p w14:paraId="18B70F9E" w14:textId="0B13F2A9" w:rsidR="006E5138" w:rsidRPr="00C9494D" w:rsidRDefault="006E5138" w:rsidP="00435652">
      <w:pPr>
        <w:pStyle w:val="BodySingle"/>
        <w:jc w:val="center"/>
        <w:rPr>
          <w:rFonts w:cs="Arial"/>
          <w:sz w:val="22"/>
          <w:szCs w:val="22"/>
          <w:lang w:val="es-ES_tradnl"/>
        </w:rPr>
      </w:pPr>
    </w:p>
    <w:p w14:paraId="41DEEEA0" w14:textId="48D6F29F" w:rsidR="00314A48" w:rsidRPr="00C9494D" w:rsidRDefault="00622E87" w:rsidP="00435652">
      <w:pPr>
        <w:pStyle w:val="DefaultText"/>
        <w:pBdr>
          <w:top w:val="single" w:sz="6" w:space="7" w:color="auto"/>
          <w:left w:val="single" w:sz="6" w:space="7" w:color="auto"/>
          <w:bottom w:val="single" w:sz="6" w:space="7" w:color="auto"/>
          <w:right w:val="single" w:sz="6" w:space="7" w:color="auto"/>
        </w:pBdr>
        <w:tabs>
          <w:tab w:val="left" w:pos="2100"/>
          <w:tab w:val="center" w:pos="4536"/>
        </w:tabs>
        <w:jc w:val="center"/>
        <w:rPr>
          <w:rFonts w:ascii="Arial" w:hAnsi="Arial" w:cs="Arial"/>
          <w:b/>
          <w:sz w:val="22"/>
          <w:szCs w:val="22"/>
          <w:lang w:val="es-ES_tradnl"/>
        </w:rPr>
      </w:pPr>
      <w:r w:rsidRPr="00C9494D">
        <w:rPr>
          <w:rFonts w:ascii="Arial" w:hAnsi="Arial"/>
          <w:b/>
          <w:sz w:val="22"/>
          <w:szCs w:val="22"/>
          <w:lang w:val="es-ES_tradnl"/>
        </w:rPr>
        <w:t>Promesa tipo</w:t>
      </w:r>
    </w:p>
    <w:p w14:paraId="20753BE1" w14:textId="77777777" w:rsidR="00213029" w:rsidRPr="00C9494D" w:rsidRDefault="00213029" w:rsidP="00435652">
      <w:pPr>
        <w:pStyle w:val="Indent1"/>
        <w:rPr>
          <w:rFonts w:ascii="Arial" w:hAnsi="Arial" w:cs="Arial"/>
          <w:sz w:val="22"/>
          <w:szCs w:val="22"/>
          <w:lang w:val="es-ES_tradnl"/>
        </w:rPr>
      </w:pPr>
    </w:p>
    <w:p w14:paraId="4C86F2B7" w14:textId="77777777" w:rsidR="00AF7A8D" w:rsidRPr="00C9494D" w:rsidRDefault="00622E87" w:rsidP="00435652">
      <w:pPr>
        <w:pStyle w:val="Heading1"/>
        <w:rPr>
          <w:rFonts w:cs="Arial"/>
          <w:szCs w:val="22"/>
          <w:u w:val="single"/>
          <w:lang w:val="es-ES_tradnl"/>
        </w:rPr>
      </w:pPr>
      <w:r w:rsidRPr="00C9494D">
        <w:rPr>
          <w:szCs w:val="22"/>
          <w:u w:val="single"/>
          <w:lang w:val="es-ES_tradnl"/>
        </w:rPr>
        <w:t>Título de la promesa tipo:</w:t>
      </w:r>
    </w:p>
    <w:p w14:paraId="701A375C" w14:textId="77777777" w:rsidR="00B36BAF" w:rsidRPr="00C9494D" w:rsidRDefault="00B36BAF" w:rsidP="00435652">
      <w:pPr>
        <w:pStyle w:val="Indent1"/>
        <w:rPr>
          <w:rFonts w:ascii="Arial" w:hAnsi="Arial" w:cs="Arial"/>
          <w:i/>
          <w:sz w:val="22"/>
          <w:szCs w:val="22"/>
          <w:lang w:val="es-ES_tradnl"/>
        </w:rPr>
      </w:pPr>
    </w:p>
    <w:p w14:paraId="38CABF4E" w14:textId="77777777" w:rsidR="00F224E5" w:rsidRPr="00C9494D" w:rsidRDefault="00D12758" w:rsidP="003E70B4">
      <w:pPr>
        <w:shd w:val="clear" w:color="auto" w:fill="FFFFFF"/>
        <w:rPr>
          <w:rFonts w:ascii="Arial" w:hAnsi="Arial" w:cs="Arial"/>
          <w:sz w:val="22"/>
          <w:szCs w:val="22"/>
          <w:lang w:val="es-ES_tradnl"/>
        </w:rPr>
      </w:pPr>
      <w:r w:rsidRPr="00C9494D">
        <w:rPr>
          <w:rFonts w:ascii="Arial" w:hAnsi="Arial"/>
          <w:sz w:val="22"/>
          <w:szCs w:val="22"/>
          <w:lang w:val="es-ES_tradnl"/>
        </w:rPr>
        <w:t xml:space="preserve">Promesa tipo sobre prevención de la violencia sexual y por motivos de género e intervención ante esta </w:t>
      </w:r>
    </w:p>
    <w:p w14:paraId="5519E8FA" w14:textId="77777777" w:rsidR="00B36BAF" w:rsidRPr="00C9494D" w:rsidRDefault="00B36BAF" w:rsidP="00435652">
      <w:pPr>
        <w:pStyle w:val="Indent1"/>
        <w:rPr>
          <w:rFonts w:ascii="Arial" w:hAnsi="Arial" w:cs="Arial"/>
          <w:b/>
          <w:sz w:val="22"/>
          <w:szCs w:val="22"/>
          <w:lang w:val="es-ES_tradnl"/>
        </w:rPr>
      </w:pPr>
    </w:p>
    <w:p w14:paraId="5E0BB043" w14:textId="77777777" w:rsidR="009860F4" w:rsidRPr="00C9494D" w:rsidRDefault="002B0196" w:rsidP="00435652">
      <w:pPr>
        <w:pStyle w:val="Indent1"/>
        <w:rPr>
          <w:rFonts w:ascii="Arial" w:hAnsi="Arial" w:cs="Arial"/>
          <w:b/>
          <w:sz w:val="22"/>
          <w:szCs w:val="22"/>
          <w:u w:val="single"/>
          <w:lang w:val="es-ES_tradnl"/>
        </w:rPr>
      </w:pPr>
      <w:r w:rsidRPr="00C9494D">
        <w:rPr>
          <w:rFonts w:ascii="Arial" w:hAnsi="Arial"/>
          <w:b/>
          <w:sz w:val="22"/>
          <w:szCs w:val="22"/>
          <w:u w:val="single"/>
          <w:lang w:val="es-ES_tradnl"/>
        </w:rPr>
        <w:t xml:space="preserve">Promesa para el período 2019-2023: </w:t>
      </w:r>
    </w:p>
    <w:p w14:paraId="0175D455" w14:textId="77777777" w:rsidR="002B0196" w:rsidRPr="00C9494D" w:rsidRDefault="002B0196" w:rsidP="00435652">
      <w:pPr>
        <w:pStyle w:val="Indent1"/>
        <w:rPr>
          <w:rFonts w:ascii="Arial" w:hAnsi="Arial" w:cs="Arial"/>
          <w:b/>
          <w:sz w:val="22"/>
          <w:szCs w:val="22"/>
          <w:u w:val="single"/>
          <w:lang w:val="es-ES_tradnl"/>
        </w:rPr>
      </w:pPr>
    </w:p>
    <w:p w14:paraId="205F7A20" w14:textId="77777777" w:rsidR="002B0196" w:rsidRPr="00C9494D" w:rsidRDefault="002B0196" w:rsidP="00E22BAF">
      <w:pPr>
        <w:pStyle w:val="Indent1"/>
        <w:numPr>
          <w:ilvl w:val="0"/>
          <w:numId w:val="1"/>
        </w:numPr>
        <w:tabs>
          <w:tab w:val="clear" w:pos="396"/>
          <w:tab w:val="clear" w:pos="741"/>
          <w:tab w:val="clear" w:pos="1134"/>
          <w:tab w:val="clear" w:pos="1701"/>
          <w:tab w:val="left" w:pos="360"/>
        </w:tabs>
        <w:ind w:hanging="720"/>
        <w:rPr>
          <w:rFonts w:ascii="Arial" w:hAnsi="Arial" w:cs="Arial"/>
          <w:i/>
          <w:sz w:val="22"/>
          <w:szCs w:val="22"/>
          <w:lang w:val="es-ES_tradnl"/>
        </w:rPr>
      </w:pPr>
      <w:r w:rsidRPr="00C9494D">
        <w:rPr>
          <w:rFonts w:ascii="Arial" w:hAnsi="Arial"/>
          <w:i/>
          <w:sz w:val="22"/>
          <w:szCs w:val="22"/>
          <w:lang w:val="es-ES_tradnl"/>
        </w:rPr>
        <w:t xml:space="preserve">Introducción </w:t>
      </w:r>
    </w:p>
    <w:p w14:paraId="09DCEEC7" w14:textId="77777777" w:rsidR="00781851" w:rsidRPr="00C9494D" w:rsidRDefault="00781851" w:rsidP="00D217A8">
      <w:pPr>
        <w:pStyle w:val="Indent1"/>
        <w:tabs>
          <w:tab w:val="clear" w:pos="396"/>
          <w:tab w:val="clear" w:pos="741"/>
          <w:tab w:val="clear" w:pos="1134"/>
          <w:tab w:val="clear" w:pos="1701"/>
          <w:tab w:val="left" w:pos="360"/>
        </w:tabs>
        <w:ind w:left="0" w:firstLine="0"/>
        <w:rPr>
          <w:rFonts w:ascii="Arial" w:hAnsi="Arial" w:cs="Arial"/>
          <w:sz w:val="22"/>
          <w:szCs w:val="22"/>
          <w:lang w:val="es-ES_tradnl"/>
        </w:rPr>
      </w:pPr>
    </w:p>
    <w:p w14:paraId="7BC0FC67" w14:textId="6492B27F" w:rsidR="00D217A8" w:rsidRPr="00C9494D" w:rsidRDefault="00D217A8" w:rsidP="00E22BAF">
      <w:pPr>
        <w:numPr>
          <w:ilvl w:val="0"/>
          <w:numId w:val="4"/>
        </w:numPr>
        <w:shd w:val="clear" w:color="auto" w:fill="FFFFFF"/>
        <w:ind w:left="360"/>
        <w:jc w:val="both"/>
        <w:rPr>
          <w:rFonts w:ascii="Arial" w:hAnsi="Arial" w:cs="Arial"/>
          <w:sz w:val="22"/>
          <w:szCs w:val="22"/>
          <w:lang w:val="es-ES_tradnl"/>
        </w:rPr>
      </w:pPr>
      <w:r w:rsidRPr="00C9494D">
        <w:rPr>
          <w:rFonts w:ascii="Arial" w:hAnsi="Arial"/>
          <w:sz w:val="22"/>
          <w:szCs w:val="22"/>
          <w:lang w:val="es-ES_tradnl"/>
        </w:rPr>
        <w:t xml:space="preserve">Recordamos los compromisos contraídos anteriormente para prevenir la violencia sexual y por motivos de género e intervenir ante esta, incluida la resolución 3 de la XXXII Conferencia Internacional de la Cruz Roja y de la Media Luna Roja titulada «Violencia sexual y por motivos de género: acción conjunta sobre la prevención y la intervención» </w:t>
      </w:r>
      <w:r w:rsidRPr="00C9494D">
        <w:rPr>
          <w:rFonts w:ascii="Arial" w:hAnsi="Arial"/>
          <w:i/>
          <w:sz w:val="22"/>
          <w:szCs w:val="22"/>
          <w:lang w:val="es-ES_tradnl"/>
        </w:rPr>
        <w:t xml:space="preserve">[los Estados y las Sociedades Nacionales deberán completar, según corresponda, con: promesas relacionadas hechas por miembros de la XXXII Conferencia Internacional de la Cruz Roja y de la Media Luna Roja, promesas formuladas en la Conferencia de Oslo para poner fin a la violencia sexual y por motivos de género en crisis humanitarias, de mayo de 2019, y otros compromisos relacionados formulados en foros multilaterales, como el </w:t>
      </w:r>
      <w:r w:rsidR="00C9494D">
        <w:rPr>
          <w:rFonts w:ascii="Arial" w:hAnsi="Arial"/>
          <w:i/>
          <w:sz w:val="22"/>
          <w:szCs w:val="22"/>
          <w:lang w:val="es-ES_tradnl"/>
        </w:rPr>
        <w:t>“</w:t>
      </w:r>
      <w:proofErr w:type="spellStart"/>
      <w:r w:rsidRPr="00C9494D">
        <w:rPr>
          <w:rFonts w:ascii="Arial" w:hAnsi="Arial"/>
          <w:i/>
          <w:sz w:val="22"/>
          <w:szCs w:val="22"/>
          <w:lang w:val="es-ES_tradnl"/>
        </w:rPr>
        <w:t>Call</w:t>
      </w:r>
      <w:proofErr w:type="spellEnd"/>
      <w:r w:rsidRPr="00C9494D">
        <w:rPr>
          <w:rFonts w:ascii="Arial" w:hAnsi="Arial"/>
          <w:i/>
          <w:sz w:val="22"/>
          <w:szCs w:val="22"/>
          <w:lang w:val="es-ES_tradnl"/>
        </w:rPr>
        <w:t xml:space="preserve"> </w:t>
      </w:r>
      <w:proofErr w:type="spellStart"/>
      <w:r w:rsidRPr="00C9494D">
        <w:rPr>
          <w:rFonts w:ascii="Arial" w:hAnsi="Arial"/>
          <w:i/>
          <w:sz w:val="22"/>
          <w:szCs w:val="22"/>
          <w:lang w:val="es-ES_tradnl"/>
        </w:rPr>
        <w:t>to</w:t>
      </w:r>
      <w:proofErr w:type="spellEnd"/>
      <w:r w:rsidRPr="00C9494D">
        <w:rPr>
          <w:rFonts w:ascii="Arial" w:hAnsi="Arial"/>
          <w:i/>
          <w:sz w:val="22"/>
          <w:szCs w:val="22"/>
          <w:lang w:val="es-ES_tradnl"/>
        </w:rPr>
        <w:t xml:space="preserve"> </w:t>
      </w:r>
      <w:proofErr w:type="spellStart"/>
      <w:r w:rsidRPr="00C9494D">
        <w:rPr>
          <w:rFonts w:ascii="Arial" w:hAnsi="Arial"/>
          <w:i/>
          <w:sz w:val="22"/>
          <w:szCs w:val="22"/>
          <w:lang w:val="es-ES_tradnl"/>
        </w:rPr>
        <w:t>Action</w:t>
      </w:r>
      <w:proofErr w:type="spellEnd"/>
      <w:r w:rsidRPr="00C9494D">
        <w:rPr>
          <w:rFonts w:ascii="Arial" w:hAnsi="Arial"/>
          <w:i/>
          <w:sz w:val="22"/>
          <w:szCs w:val="22"/>
          <w:lang w:val="es-ES_tradnl"/>
        </w:rPr>
        <w:t xml:space="preserve"> </w:t>
      </w:r>
      <w:proofErr w:type="spellStart"/>
      <w:r w:rsidRPr="00C9494D">
        <w:rPr>
          <w:rFonts w:ascii="Arial" w:hAnsi="Arial"/>
          <w:i/>
          <w:sz w:val="22"/>
          <w:szCs w:val="22"/>
          <w:lang w:val="es-ES_tradnl"/>
        </w:rPr>
        <w:t>on</w:t>
      </w:r>
      <w:proofErr w:type="spellEnd"/>
      <w:r w:rsidRPr="00C9494D">
        <w:rPr>
          <w:rFonts w:ascii="Arial" w:hAnsi="Arial"/>
          <w:i/>
          <w:sz w:val="22"/>
          <w:szCs w:val="22"/>
          <w:lang w:val="es-ES_tradnl"/>
        </w:rPr>
        <w:t xml:space="preserve"> </w:t>
      </w:r>
      <w:proofErr w:type="spellStart"/>
      <w:r w:rsidRPr="00C9494D">
        <w:rPr>
          <w:rFonts w:ascii="Arial" w:hAnsi="Arial"/>
          <w:i/>
          <w:sz w:val="22"/>
          <w:szCs w:val="22"/>
          <w:lang w:val="es-ES_tradnl"/>
        </w:rPr>
        <w:t>Protection</w:t>
      </w:r>
      <w:proofErr w:type="spellEnd"/>
      <w:r w:rsidRPr="00C9494D">
        <w:rPr>
          <w:rFonts w:ascii="Arial" w:hAnsi="Arial"/>
          <w:i/>
          <w:sz w:val="22"/>
          <w:szCs w:val="22"/>
          <w:lang w:val="es-ES_tradnl"/>
        </w:rPr>
        <w:t xml:space="preserve"> </w:t>
      </w:r>
      <w:proofErr w:type="spellStart"/>
      <w:r w:rsidRPr="00C9494D">
        <w:rPr>
          <w:rFonts w:ascii="Arial" w:hAnsi="Arial"/>
          <w:i/>
          <w:sz w:val="22"/>
          <w:szCs w:val="22"/>
          <w:lang w:val="es-ES_tradnl"/>
        </w:rPr>
        <w:t>from</w:t>
      </w:r>
      <w:proofErr w:type="spellEnd"/>
      <w:r w:rsidRPr="00C9494D">
        <w:rPr>
          <w:rFonts w:ascii="Arial" w:hAnsi="Arial"/>
          <w:i/>
          <w:sz w:val="22"/>
          <w:szCs w:val="22"/>
          <w:lang w:val="es-ES_tradnl"/>
        </w:rPr>
        <w:t xml:space="preserve"> </w:t>
      </w:r>
      <w:proofErr w:type="spellStart"/>
      <w:r w:rsidRPr="00C9494D">
        <w:rPr>
          <w:rFonts w:ascii="Arial" w:hAnsi="Arial"/>
          <w:i/>
          <w:sz w:val="22"/>
          <w:szCs w:val="22"/>
          <w:lang w:val="es-ES_tradnl"/>
        </w:rPr>
        <w:t>Gender-Based</w:t>
      </w:r>
      <w:proofErr w:type="spellEnd"/>
      <w:r w:rsidRPr="00C9494D">
        <w:rPr>
          <w:rFonts w:ascii="Arial" w:hAnsi="Arial"/>
          <w:i/>
          <w:sz w:val="22"/>
          <w:szCs w:val="22"/>
          <w:lang w:val="es-ES_tradnl"/>
        </w:rPr>
        <w:t xml:space="preserve"> </w:t>
      </w:r>
      <w:proofErr w:type="spellStart"/>
      <w:r w:rsidRPr="00C9494D">
        <w:rPr>
          <w:rFonts w:ascii="Arial" w:hAnsi="Arial"/>
          <w:i/>
          <w:sz w:val="22"/>
          <w:szCs w:val="22"/>
          <w:lang w:val="es-ES_tradnl"/>
        </w:rPr>
        <w:t>Violence</w:t>
      </w:r>
      <w:proofErr w:type="spellEnd"/>
      <w:r w:rsidRPr="00C9494D">
        <w:rPr>
          <w:rFonts w:ascii="Arial" w:hAnsi="Arial"/>
          <w:i/>
          <w:sz w:val="22"/>
          <w:szCs w:val="22"/>
          <w:lang w:val="es-ES_tradnl"/>
        </w:rPr>
        <w:t xml:space="preserve"> in </w:t>
      </w:r>
      <w:proofErr w:type="spellStart"/>
      <w:r w:rsidRPr="00C9494D">
        <w:rPr>
          <w:rFonts w:ascii="Arial" w:hAnsi="Arial"/>
          <w:i/>
          <w:sz w:val="22"/>
          <w:szCs w:val="22"/>
          <w:lang w:val="es-ES_tradnl"/>
        </w:rPr>
        <w:t>Emergencies</w:t>
      </w:r>
      <w:proofErr w:type="spellEnd"/>
      <w:r w:rsidR="00C9494D">
        <w:rPr>
          <w:rFonts w:ascii="Arial" w:hAnsi="Arial"/>
          <w:i/>
          <w:sz w:val="22"/>
          <w:szCs w:val="22"/>
          <w:lang w:val="es-ES_tradnl"/>
        </w:rPr>
        <w:t>”</w:t>
      </w:r>
      <w:r w:rsidRPr="00C9494D">
        <w:rPr>
          <w:rFonts w:ascii="Arial" w:hAnsi="Arial"/>
          <w:i/>
          <w:sz w:val="22"/>
          <w:szCs w:val="22"/>
          <w:lang w:val="es-ES_tradnl"/>
        </w:rPr>
        <w:t>]</w:t>
      </w:r>
      <w:r w:rsidRPr="00C9494D">
        <w:rPr>
          <w:rFonts w:ascii="Arial" w:hAnsi="Arial"/>
          <w:sz w:val="22"/>
          <w:szCs w:val="22"/>
          <w:lang w:val="es-ES_tradnl"/>
        </w:rPr>
        <w:t xml:space="preserve">, reafirmamos su continua pertinencia y nos comprometemos a acelerar la implementación de las medidas; </w:t>
      </w:r>
    </w:p>
    <w:p w14:paraId="359FF524" w14:textId="77777777" w:rsidR="00D12758" w:rsidRPr="00C9494D" w:rsidRDefault="00D12758" w:rsidP="006A521F">
      <w:pPr>
        <w:shd w:val="clear" w:color="auto" w:fill="FFFFFF"/>
        <w:jc w:val="both"/>
        <w:rPr>
          <w:rFonts w:ascii="Arial" w:hAnsi="Arial" w:cs="Arial"/>
          <w:sz w:val="22"/>
          <w:szCs w:val="22"/>
          <w:lang w:val="es-ES_tradnl" w:eastAsia="fr-CH"/>
        </w:rPr>
      </w:pPr>
    </w:p>
    <w:p w14:paraId="548C2FBB" w14:textId="4C8B6F00" w:rsidR="00D12758" w:rsidRPr="00C9494D" w:rsidRDefault="00D12758" w:rsidP="00E22BAF">
      <w:pPr>
        <w:numPr>
          <w:ilvl w:val="0"/>
          <w:numId w:val="4"/>
        </w:numPr>
        <w:shd w:val="clear" w:color="auto" w:fill="FFFFFF"/>
        <w:ind w:left="360"/>
        <w:jc w:val="both"/>
        <w:rPr>
          <w:rFonts w:ascii="Arial" w:hAnsi="Arial" w:cs="Arial"/>
          <w:sz w:val="22"/>
          <w:szCs w:val="22"/>
          <w:lang w:val="es-ES_tradnl"/>
        </w:rPr>
      </w:pPr>
      <w:r w:rsidRPr="00C9494D">
        <w:rPr>
          <w:rFonts w:ascii="Arial" w:hAnsi="Arial"/>
          <w:sz w:val="22"/>
          <w:szCs w:val="22"/>
          <w:lang w:val="es-ES_tradnl"/>
        </w:rPr>
        <w:t xml:space="preserve">Acogemos con satisfacción la resolución [propuesta] sobre «Acercar el DIH: hoja de ruta para una mejor implementación del derecho internacional humanitario a nivel nacional» de la XXXIII Conferencia Internacional [y por la presente nos comprometemos a aplicar sus disposiciones, en particular a fortalecer nuestra prevención e intervención en materia de violencia sexual]; </w:t>
      </w:r>
    </w:p>
    <w:p w14:paraId="211007FB" w14:textId="77777777" w:rsidR="00216D4B" w:rsidRPr="00C9494D" w:rsidRDefault="00216D4B" w:rsidP="006A521F">
      <w:pPr>
        <w:pStyle w:val="ListParagraph"/>
        <w:ind w:left="360"/>
        <w:rPr>
          <w:rFonts w:ascii="Arial" w:hAnsi="Arial" w:cs="Arial"/>
          <w:sz w:val="22"/>
          <w:szCs w:val="22"/>
          <w:lang w:val="es-ES_tradnl" w:eastAsia="fr-CH"/>
        </w:rPr>
      </w:pPr>
    </w:p>
    <w:p w14:paraId="7F0EE300" w14:textId="290E8C09" w:rsidR="00216D4B" w:rsidRPr="00C9494D" w:rsidRDefault="00216D4B" w:rsidP="00E22BAF">
      <w:pPr>
        <w:numPr>
          <w:ilvl w:val="0"/>
          <w:numId w:val="4"/>
        </w:numPr>
        <w:shd w:val="clear" w:color="auto" w:fill="FFFFFF"/>
        <w:ind w:left="360"/>
        <w:jc w:val="both"/>
        <w:rPr>
          <w:rFonts w:ascii="Arial" w:hAnsi="Arial" w:cs="Arial"/>
          <w:sz w:val="22"/>
          <w:szCs w:val="22"/>
          <w:lang w:val="es-ES_tradnl"/>
        </w:rPr>
      </w:pPr>
      <w:r w:rsidRPr="00C9494D">
        <w:rPr>
          <w:rFonts w:ascii="Arial" w:hAnsi="Arial"/>
          <w:sz w:val="22"/>
          <w:szCs w:val="22"/>
          <w:lang w:val="es-ES_tradnl"/>
        </w:rPr>
        <w:t xml:space="preserve">Tomamos en consideración la investigación realizada por la Federación Internacional titulada </w:t>
      </w:r>
      <w:r w:rsidR="00C9494D">
        <w:rPr>
          <w:rFonts w:ascii="Arial" w:hAnsi="Arial"/>
          <w:sz w:val="22"/>
          <w:szCs w:val="22"/>
          <w:lang w:val="es-ES_tradnl"/>
        </w:rPr>
        <w:t>“</w:t>
      </w:r>
      <w:proofErr w:type="spellStart"/>
      <w:r w:rsidRPr="00C9494D">
        <w:rPr>
          <w:rFonts w:ascii="Arial" w:hAnsi="Arial"/>
          <w:sz w:val="22"/>
          <w:szCs w:val="22"/>
          <w:lang w:val="es-ES_tradnl"/>
        </w:rPr>
        <w:t>Effective</w:t>
      </w:r>
      <w:proofErr w:type="spellEnd"/>
      <w:r w:rsidRPr="00C9494D">
        <w:rPr>
          <w:rFonts w:ascii="Arial" w:hAnsi="Arial"/>
          <w:sz w:val="22"/>
          <w:szCs w:val="22"/>
          <w:lang w:val="es-ES_tradnl"/>
        </w:rPr>
        <w:t xml:space="preserve"> </w:t>
      </w:r>
      <w:proofErr w:type="spellStart"/>
      <w:r w:rsidRPr="00C9494D">
        <w:rPr>
          <w:rFonts w:ascii="Arial" w:hAnsi="Arial"/>
          <w:sz w:val="22"/>
          <w:szCs w:val="22"/>
          <w:lang w:val="es-ES_tradnl"/>
        </w:rPr>
        <w:t>law</w:t>
      </w:r>
      <w:proofErr w:type="spellEnd"/>
      <w:r w:rsidRPr="00C9494D">
        <w:rPr>
          <w:rFonts w:ascii="Arial" w:hAnsi="Arial"/>
          <w:sz w:val="22"/>
          <w:szCs w:val="22"/>
          <w:lang w:val="es-ES_tradnl"/>
        </w:rPr>
        <w:t xml:space="preserve"> and </w:t>
      </w:r>
      <w:proofErr w:type="spellStart"/>
      <w:r w:rsidRPr="00C9494D">
        <w:rPr>
          <w:rFonts w:ascii="Arial" w:hAnsi="Arial"/>
          <w:sz w:val="22"/>
          <w:szCs w:val="22"/>
          <w:lang w:val="es-ES_tradnl"/>
        </w:rPr>
        <w:t>policy</w:t>
      </w:r>
      <w:proofErr w:type="spellEnd"/>
      <w:r w:rsidRPr="00C9494D">
        <w:rPr>
          <w:rFonts w:ascii="Arial" w:hAnsi="Arial"/>
          <w:sz w:val="22"/>
          <w:szCs w:val="22"/>
          <w:lang w:val="es-ES_tradnl"/>
        </w:rPr>
        <w:t xml:space="preserve"> </w:t>
      </w:r>
      <w:proofErr w:type="spellStart"/>
      <w:r w:rsidRPr="00C9494D">
        <w:rPr>
          <w:rFonts w:ascii="Arial" w:hAnsi="Arial"/>
          <w:sz w:val="22"/>
          <w:szCs w:val="22"/>
          <w:lang w:val="es-ES_tradnl"/>
        </w:rPr>
        <w:t>on</w:t>
      </w:r>
      <w:proofErr w:type="spellEnd"/>
      <w:r w:rsidRPr="00C9494D">
        <w:rPr>
          <w:rFonts w:ascii="Arial" w:hAnsi="Arial"/>
          <w:sz w:val="22"/>
          <w:szCs w:val="22"/>
          <w:lang w:val="es-ES_tradnl"/>
        </w:rPr>
        <w:t xml:space="preserve"> </w:t>
      </w:r>
      <w:proofErr w:type="spellStart"/>
      <w:r w:rsidRPr="00C9494D">
        <w:rPr>
          <w:rFonts w:ascii="Arial" w:hAnsi="Arial"/>
          <w:sz w:val="22"/>
          <w:szCs w:val="22"/>
          <w:lang w:val="es-ES_tradnl"/>
        </w:rPr>
        <w:t>gender</w:t>
      </w:r>
      <w:proofErr w:type="spellEnd"/>
      <w:r w:rsidRPr="00C9494D">
        <w:rPr>
          <w:rFonts w:ascii="Arial" w:hAnsi="Arial"/>
          <w:sz w:val="22"/>
          <w:szCs w:val="22"/>
          <w:lang w:val="es-ES_tradnl"/>
        </w:rPr>
        <w:t xml:space="preserve"> </w:t>
      </w:r>
      <w:proofErr w:type="spellStart"/>
      <w:r w:rsidRPr="00C9494D">
        <w:rPr>
          <w:rFonts w:ascii="Arial" w:hAnsi="Arial"/>
          <w:sz w:val="22"/>
          <w:szCs w:val="22"/>
          <w:lang w:val="es-ES_tradnl"/>
        </w:rPr>
        <w:t>equality</w:t>
      </w:r>
      <w:proofErr w:type="spellEnd"/>
      <w:r w:rsidRPr="00C9494D">
        <w:rPr>
          <w:rFonts w:ascii="Arial" w:hAnsi="Arial"/>
          <w:sz w:val="22"/>
          <w:szCs w:val="22"/>
          <w:lang w:val="es-ES_tradnl"/>
        </w:rPr>
        <w:t xml:space="preserve"> and </w:t>
      </w:r>
      <w:proofErr w:type="spellStart"/>
      <w:r w:rsidRPr="00C9494D">
        <w:rPr>
          <w:rFonts w:ascii="Arial" w:hAnsi="Arial"/>
          <w:sz w:val="22"/>
          <w:szCs w:val="22"/>
          <w:lang w:val="es-ES_tradnl"/>
        </w:rPr>
        <w:t>protection</w:t>
      </w:r>
      <w:proofErr w:type="spellEnd"/>
      <w:r w:rsidRPr="00C9494D">
        <w:rPr>
          <w:rFonts w:ascii="Arial" w:hAnsi="Arial"/>
          <w:sz w:val="22"/>
          <w:szCs w:val="22"/>
          <w:lang w:val="es-ES_tradnl"/>
        </w:rPr>
        <w:t xml:space="preserve"> </w:t>
      </w:r>
      <w:proofErr w:type="spellStart"/>
      <w:r w:rsidRPr="00C9494D">
        <w:rPr>
          <w:rFonts w:ascii="Arial" w:hAnsi="Arial"/>
          <w:sz w:val="22"/>
          <w:szCs w:val="22"/>
          <w:lang w:val="es-ES_tradnl"/>
        </w:rPr>
        <w:t>from</w:t>
      </w:r>
      <w:proofErr w:type="spellEnd"/>
      <w:r w:rsidRPr="00C9494D">
        <w:rPr>
          <w:rFonts w:ascii="Arial" w:hAnsi="Arial"/>
          <w:sz w:val="22"/>
          <w:szCs w:val="22"/>
          <w:lang w:val="es-ES_tradnl"/>
        </w:rPr>
        <w:t xml:space="preserve"> sexual and </w:t>
      </w:r>
      <w:proofErr w:type="spellStart"/>
      <w:r w:rsidRPr="00C9494D">
        <w:rPr>
          <w:rFonts w:ascii="Arial" w:hAnsi="Arial"/>
          <w:sz w:val="22"/>
          <w:szCs w:val="22"/>
          <w:lang w:val="es-ES_tradnl"/>
        </w:rPr>
        <w:t>gender-based</w:t>
      </w:r>
      <w:proofErr w:type="spellEnd"/>
      <w:r w:rsidRPr="00C9494D">
        <w:rPr>
          <w:rFonts w:ascii="Arial" w:hAnsi="Arial"/>
          <w:sz w:val="22"/>
          <w:szCs w:val="22"/>
          <w:lang w:val="es-ES_tradnl"/>
        </w:rPr>
        <w:t xml:space="preserve"> </w:t>
      </w:r>
      <w:proofErr w:type="spellStart"/>
      <w:r w:rsidRPr="00C9494D">
        <w:rPr>
          <w:rFonts w:ascii="Arial" w:hAnsi="Arial"/>
          <w:sz w:val="22"/>
          <w:szCs w:val="22"/>
          <w:lang w:val="es-ES_tradnl"/>
        </w:rPr>
        <w:t>violence</w:t>
      </w:r>
      <w:proofErr w:type="spellEnd"/>
      <w:r w:rsidRPr="00C9494D">
        <w:rPr>
          <w:rFonts w:ascii="Arial" w:hAnsi="Arial"/>
          <w:sz w:val="22"/>
          <w:szCs w:val="22"/>
          <w:lang w:val="es-ES_tradnl"/>
        </w:rPr>
        <w:t xml:space="preserve"> in </w:t>
      </w:r>
      <w:proofErr w:type="spellStart"/>
      <w:r w:rsidRPr="00C9494D">
        <w:rPr>
          <w:rFonts w:ascii="Arial" w:hAnsi="Arial"/>
          <w:sz w:val="22"/>
          <w:szCs w:val="22"/>
          <w:lang w:val="es-ES_tradnl"/>
        </w:rPr>
        <w:t>disasters</w:t>
      </w:r>
      <w:proofErr w:type="spellEnd"/>
      <w:r w:rsidR="00C9494D">
        <w:rPr>
          <w:rFonts w:ascii="Arial" w:hAnsi="Arial"/>
          <w:sz w:val="22"/>
          <w:szCs w:val="22"/>
          <w:lang w:val="es-ES_tradnl"/>
        </w:rPr>
        <w:t>”</w:t>
      </w:r>
      <w:r w:rsidRPr="00C9494D">
        <w:rPr>
          <w:rFonts w:ascii="Arial" w:hAnsi="Arial"/>
          <w:i/>
          <w:sz w:val="22"/>
          <w:szCs w:val="22"/>
          <w:lang w:val="es-ES_tradnl"/>
        </w:rPr>
        <w:t xml:space="preserve"> </w:t>
      </w:r>
      <w:r w:rsidRPr="00C9494D">
        <w:rPr>
          <w:rFonts w:ascii="Arial" w:hAnsi="Arial"/>
          <w:sz w:val="22"/>
          <w:szCs w:val="22"/>
          <w:lang w:val="es-ES_tradnl"/>
        </w:rPr>
        <w:t xml:space="preserve">[Normas y políticas eficaces en materia de igualdad de géneros y protección contra la violencia sexual y por motivos de género en situaciones de desastre], en la que se demuestra que la violencia sexual y por motivos de género tiende a aumentar en desastres y en emergencias debido al debilitamiento de las estructuras de seguridad y a la exacerbación de las vulnerabilidades;  </w:t>
      </w:r>
    </w:p>
    <w:p w14:paraId="79276764" w14:textId="77777777" w:rsidR="00D217A8" w:rsidRPr="00C9494D" w:rsidRDefault="00D217A8" w:rsidP="006A521F">
      <w:pPr>
        <w:pStyle w:val="Indent1"/>
        <w:tabs>
          <w:tab w:val="clear" w:pos="396"/>
          <w:tab w:val="clear" w:pos="741"/>
          <w:tab w:val="clear" w:pos="1134"/>
          <w:tab w:val="clear" w:pos="1701"/>
          <w:tab w:val="left" w:pos="360"/>
        </w:tabs>
        <w:ind w:left="0" w:firstLine="0"/>
        <w:rPr>
          <w:rFonts w:ascii="Arial" w:hAnsi="Arial" w:cs="Arial"/>
          <w:sz w:val="22"/>
          <w:szCs w:val="22"/>
          <w:lang w:val="es-ES_tradnl"/>
        </w:rPr>
      </w:pPr>
    </w:p>
    <w:p w14:paraId="77B652D9" w14:textId="67692086" w:rsidR="002B0196" w:rsidRPr="00C9494D" w:rsidRDefault="00924A58" w:rsidP="00E22BAF">
      <w:pPr>
        <w:numPr>
          <w:ilvl w:val="0"/>
          <w:numId w:val="4"/>
        </w:numPr>
        <w:ind w:left="360"/>
        <w:jc w:val="both"/>
        <w:rPr>
          <w:rFonts w:ascii="Arial" w:hAnsi="Arial" w:cs="Arial"/>
          <w:sz w:val="22"/>
          <w:szCs w:val="22"/>
          <w:lang w:val="es-ES_tradnl"/>
        </w:rPr>
      </w:pPr>
      <w:r w:rsidRPr="00C9494D">
        <w:rPr>
          <w:rFonts w:ascii="Arial" w:hAnsi="Arial"/>
          <w:sz w:val="22"/>
          <w:szCs w:val="22"/>
          <w:lang w:val="es-ES_tradnl"/>
        </w:rPr>
        <w:t xml:space="preserve">Nosotros, [Gobierno/Sociedad Nacional/Gobiernos] y la/s Sociedad/es Nacional/es de [país/región] nos comprometemos [conjuntamente] a realizar las siguientes actividades para 2023: </w:t>
      </w:r>
    </w:p>
    <w:p w14:paraId="289541D9" w14:textId="77777777" w:rsidR="00AF7A8D" w:rsidRPr="00C9494D" w:rsidRDefault="00AF7A8D" w:rsidP="00435652">
      <w:pPr>
        <w:pStyle w:val="Indent1"/>
        <w:tabs>
          <w:tab w:val="clear" w:pos="396"/>
          <w:tab w:val="left" w:pos="0"/>
          <w:tab w:val="left" w:pos="1418"/>
        </w:tabs>
        <w:ind w:left="0" w:firstLine="0"/>
        <w:rPr>
          <w:rFonts w:ascii="Arial" w:hAnsi="Arial" w:cs="Arial"/>
          <w:b/>
          <w:bCs/>
          <w:i/>
          <w:sz w:val="22"/>
          <w:szCs w:val="22"/>
          <w:lang w:val="es-ES_tradnl"/>
        </w:rPr>
      </w:pPr>
    </w:p>
    <w:p w14:paraId="010BF4C8" w14:textId="77777777" w:rsidR="00781851" w:rsidRPr="00C9494D" w:rsidRDefault="00781851" w:rsidP="00E22BAF">
      <w:pPr>
        <w:pStyle w:val="Indent1"/>
        <w:numPr>
          <w:ilvl w:val="0"/>
          <w:numId w:val="1"/>
        </w:numPr>
        <w:tabs>
          <w:tab w:val="clear" w:pos="396"/>
          <w:tab w:val="clear" w:pos="741"/>
          <w:tab w:val="clear" w:pos="1134"/>
          <w:tab w:val="clear" w:pos="1701"/>
          <w:tab w:val="clear" w:pos="2268"/>
          <w:tab w:val="clear" w:pos="2835"/>
          <w:tab w:val="left" w:pos="0"/>
          <w:tab w:val="left" w:pos="426"/>
        </w:tabs>
        <w:ind w:left="567" w:hanging="567"/>
        <w:rPr>
          <w:rFonts w:ascii="Arial" w:hAnsi="Arial" w:cs="Arial"/>
          <w:bCs/>
          <w:i/>
          <w:sz w:val="22"/>
          <w:szCs w:val="22"/>
          <w:lang w:val="es-ES_tradnl"/>
        </w:rPr>
      </w:pPr>
      <w:r w:rsidRPr="00C9494D">
        <w:rPr>
          <w:rFonts w:ascii="Arial" w:hAnsi="Arial"/>
          <w:bCs/>
          <w:i/>
          <w:sz w:val="22"/>
          <w:szCs w:val="22"/>
          <w:lang w:val="es-ES_tradnl"/>
        </w:rPr>
        <w:t>Plan de acción</w:t>
      </w:r>
    </w:p>
    <w:p w14:paraId="42BA530E" w14:textId="77777777" w:rsidR="00D12758" w:rsidRPr="00C9494D" w:rsidRDefault="00D12758" w:rsidP="00D12758">
      <w:pPr>
        <w:pStyle w:val="Indent1"/>
        <w:tabs>
          <w:tab w:val="clear" w:pos="396"/>
          <w:tab w:val="clear" w:pos="741"/>
          <w:tab w:val="clear" w:pos="1134"/>
          <w:tab w:val="clear" w:pos="1701"/>
          <w:tab w:val="clear" w:pos="2268"/>
          <w:tab w:val="clear" w:pos="2835"/>
          <w:tab w:val="left" w:pos="0"/>
          <w:tab w:val="left" w:pos="426"/>
        </w:tabs>
        <w:rPr>
          <w:rFonts w:ascii="Arial" w:hAnsi="Arial" w:cs="Arial"/>
          <w:bCs/>
          <w:sz w:val="22"/>
          <w:szCs w:val="22"/>
          <w:lang w:val="es-ES_tradnl"/>
        </w:rPr>
      </w:pPr>
    </w:p>
    <w:p w14:paraId="011114FC" w14:textId="61EC46E8" w:rsidR="00D12758" w:rsidRPr="00C9494D" w:rsidRDefault="00D12758" w:rsidP="00D12758">
      <w:pPr>
        <w:shd w:val="clear" w:color="auto" w:fill="FFFFFF"/>
        <w:jc w:val="both"/>
        <w:rPr>
          <w:rFonts w:ascii="Arial" w:hAnsi="Arial" w:cs="Arial"/>
          <w:i/>
          <w:sz w:val="22"/>
          <w:szCs w:val="22"/>
          <w:lang w:val="es-ES_tradnl"/>
        </w:rPr>
      </w:pPr>
      <w:r w:rsidRPr="00C9494D">
        <w:rPr>
          <w:rFonts w:ascii="Arial" w:hAnsi="Arial"/>
          <w:i/>
          <w:sz w:val="22"/>
          <w:szCs w:val="22"/>
          <w:lang w:val="es-ES_tradnl"/>
        </w:rPr>
        <w:t>Los Estados y las Sociedades Nacionales pueden seleccionar un compromiso o varios de la siguiente lista tildando [</w:t>
      </w:r>
      <w:r w:rsidRPr="00C9494D">
        <w:rPr>
          <w:rFonts w:ascii="Segoe UI Symbol" w:hAnsi="Segoe UI Symbol"/>
          <w:i/>
          <w:sz w:val="22"/>
          <w:szCs w:val="22"/>
          <w:shd w:val="clear" w:color="auto" w:fill="DEEAF6"/>
          <w:lang w:val="es-ES_tradnl"/>
        </w:rPr>
        <w:t>✓</w:t>
      </w:r>
      <w:r w:rsidRPr="00C9494D">
        <w:rPr>
          <w:rFonts w:ascii="Arial" w:hAnsi="Arial"/>
          <w:i/>
          <w:sz w:val="22"/>
          <w:szCs w:val="22"/>
          <w:lang w:val="es-ES_tradnl"/>
        </w:rPr>
        <w:t>] los casilleros según corresponda:</w:t>
      </w:r>
    </w:p>
    <w:p w14:paraId="075EBEC6" w14:textId="77777777" w:rsidR="00D12758" w:rsidRPr="00C9494D" w:rsidRDefault="00D12758" w:rsidP="00D12758">
      <w:pPr>
        <w:pStyle w:val="Indent1"/>
        <w:tabs>
          <w:tab w:val="clear" w:pos="396"/>
          <w:tab w:val="clear" w:pos="741"/>
          <w:tab w:val="clear" w:pos="1134"/>
          <w:tab w:val="clear" w:pos="1701"/>
          <w:tab w:val="clear" w:pos="2268"/>
          <w:tab w:val="clear" w:pos="2835"/>
          <w:tab w:val="left" w:pos="0"/>
          <w:tab w:val="left" w:pos="426"/>
        </w:tabs>
        <w:rPr>
          <w:rFonts w:ascii="Arial" w:hAnsi="Arial" w:cs="Arial"/>
          <w:bCs/>
          <w:sz w:val="22"/>
          <w:szCs w:val="22"/>
          <w:lang w:val="es-ES_tradn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3"/>
        <w:gridCol w:w="384"/>
      </w:tblGrid>
      <w:tr w:rsidR="00116967" w:rsidRPr="00C9494D" w14:paraId="11B6790B" w14:textId="77777777" w:rsidTr="00352B7D">
        <w:tc>
          <w:tcPr>
            <w:tcW w:w="8683" w:type="dxa"/>
            <w:tcBorders>
              <w:top w:val="nil"/>
              <w:left w:val="nil"/>
              <w:bottom w:val="nil"/>
              <w:right w:val="nil"/>
            </w:tcBorders>
            <w:shd w:val="clear" w:color="auto" w:fill="auto"/>
          </w:tcPr>
          <w:p w14:paraId="58C96063" w14:textId="45A842BC" w:rsidR="00116967" w:rsidRPr="00C9494D" w:rsidRDefault="00116967" w:rsidP="00E22BAF">
            <w:pPr>
              <w:numPr>
                <w:ilvl w:val="0"/>
                <w:numId w:val="2"/>
              </w:numPr>
              <w:jc w:val="both"/>
              <w:rPr>
                <w:rFonts w:ascii="Arial" w:hAnsi="Arial" w:cs="Arial"/>
                <w:sz w:val="22"/>
                <w:szCs w:val="22"/>
                <w:lang w:val="es-ES_tradnl"/>
              </w:rPr>
            </w:pPr>
            <w:r w:rsidRPr="00C9494D">
              <w:rPr>
                <w:rFonts w:ascii="Arial" w:hAnsi="Arial"/>
                <w:b/>
                <w:sz w:val="22"/>
                <w:szCs w:val="22"/>
                <w:lang w:val="es-ES_tradnl"/>
              </w:rPr>
              <w:t>Revisar los</w:t>
            </w:r>
            <w:r w:rsidRPr="00C9494D">
              <w:rPr>
                <w:rFonts w:ascii="Arial" w:hAnsi="Arial"/>
                <w:sz w:val="22"/>
                <w:szCs w:val="22"/>
                <w:lang w:val="es-ES_tradnl"/>
              </w:rPr>
              <w:t xml:space="preserve"> </w:t>
            </w:r>
            <w:r w:rsidRPr="00C9494D">
              <w:rPr>
                <w:rFonts w:ascii="Arial" w:hAnsi="Arial"/>
                <w:b/>
                <w:sz w:val="22"/>
                <w:szCs w:val="22"/>
                <w:lang w:val="es-ES_tradnl"/>
              </w:rPr>
              <w:t>marcos jurídicos internos</w:t>
            </w:r>
            <w:r w:rsidRPr="00C9494D">
              <w:rPr>
                <w:rFonts w:ascii="Arial" w:hAnsi="Arial"/>
                <w:sz w:val="22"/>
                <w:szCs w:val="22"/>
                <w:lang w:val="es-ES_tradnl"/>
              </w:rPr>
              <w:t xml:space="preserve"> para verificar si incorporan plenamente las obligaciones internacionales aplicables en relación con la violencia sexual y por motivos de género, disponen la investigación y el enjuiciamiento, y ofrecen </w:t>
            </w:r>
            <w:r w:rsidRPr="00C9494D">
              <w:rPr>
                <w:rFonts w:ascii="Arial" w:hAnsi="Arial"/>
                <w:sz w:val="22"/>
                <w:szCs w:val="22"/>
                <w:lang w:val="es-ES_tradnl"/>
              </w:rPr>
              <w:lastRenderedPageBreak/>
              <w:t xml:space="preserve">protección y otra atención que requieran las necesidades de las víctimas/sobrevivientes, </w:t>
            </w:r>
            <w:r w:rsidRPr="00C9494D">
              <w:rPr>
                <w:rFonts w:ascii="Arial" w:hAnsi="Arial"/>
                <w:sz w:val="22"/>
                <w:szCs w:val="22"/>
                <w:u w:val="single"/>
                <w:lang w:val="es-ES_tradnl"/>
              </w:rPr>
              <w:t>especialmente a través de las siguientes medidas</w:t>
            </w:r>
            <w:r w:rsidRPr="00C9494D">
              <w:rPr>
                <w:rFonts w:ascii="Arial" w:hAnsi="Arial"/>
                <w:sz w:val="22"/>
                <w:szCs w:val="22"/>
                <w:lang w:val="es-ES_tradnl"/>
              </w:rPr>
              <w:t>:</w:t>
            </w:r>
          </w:p>
        </w:tc>
        <w:tc>
          <w:tcPr>
            <w:tcW w:w="384" w:type="dxa"/>
            <w:tcBorders>
              <w:top w:val="nil"/>
              <w:left w:val="nil"/>
              <w:bottom w:val="nil"/>
              <w:right w:val="nil"/>
            </w:tcBorders>
            <w:shd w:val="clear" w:color="auto" w:fill="auto"/>
          </w:tcPr>
          <w:p w14:paraId="40838C9F" w14:textId="77777777" w:rsidR="00116967" w:rsidRPr="00C9494D" w:rsidRDefault="00116967" w:rsidP="00944D26">
            <w:pPr>
              <w:jc w:val="both"/>
              <w:rPr>
                <w:rFonts w:ascii="Arial" w:hAnsi="Arial" w:cs="Arial"/>
                <w:sz w:val="22"/>
                <w:szCs w:val="22"/>
                <w:lang w:val="es-ES_tradnl"/>
              </w:rPr>
            </w:pPr>
          </w:p>
        </w:tc>
      </w:tr>
      <w:tr w:rsidR="00116967" w:rsidRPr="00C9494D" w14:paraId="134AFECD" w14:textId="77777777" w:rsidTr="00352B7D">
        <w:tc>
          <w:tcPr>
            <w:tcW w:w="8683" w:type="dxa"/>
            <w:tcBorders>
              <w:top w:val="nil"/>
              <w:left w:val="nil"/>
              <w:bottom w:val="nil"/>
              <w:right w:val="nil"/>
            </w:tcBorders>
            <w:shd w:val="clear" w:color="auto" w:fill="auto"/>
          </w:tcPr>
          <w:p w14:paraId="204E6733" w14:textId="77777777" w:rsidR="00116967" w:rsidRPr="00C9494D" w:rsidRDefault="00116967" w:rsidP="00E22BAF">
            <w:pPr>
              <w:numPr>
                <w:ilvl w:val="1"/>
                <w:numId w:val="2"/>
              </w:numPr>
              <w:jc w:val="both"/>
              <w:rPr>
                <w:rFonts w:ascii="Arial" w:hAnsi="Arial" w:cs="Arial"/>
                <w:lang w:val="es-ES_tradnl"/>
              </w:rPr>
            </w:pPr>
            <w:r w:rsidRPr="00C9494D">
              <w:rPr>
                <w:rFonts w:ascii="Arial" w:hAnsi="Arial"/>
                <w:lang w:val="es-ES_tradnl"/>
              </w:rPr>
              <w:t>identificación de las disposiciones del derecho interno que criminalizan la violencia sexual en conflictos armados y elaboración de nueva legislación y reglamentos (o modificación de los existentes), según corresponda, para que:</w:t>
            </w:r>
          </w:p>
        </w:tc>
        <w:tc>
          <w:tcPr>
            <w:tcW w:w="384" w:type="dxa"/>
            <w:tcBorders>
              <w:top w:val="nil"/>
              <w:left w:val="nil"/>
              <w:bottom w:val="single" w:sz="4" w:space="0" w:color="auto"/>
              <w:right w:val="nil"/>
            </w:tcBorders>
            <w:shd w:val="clear" w:color="auto" w:fill="FFFFFF"/>
          </w:tcPr>
          <w:p w14:paraId="7AD9DEF3" w14:textId="77777777" w:rsidR="00116967" w:rsidRPr="00C9494D" w:rsidRDefault="00116967" w:rsidP="00944D26">
            <w:pPr>
              <w:jc w:val="both"/>
              <w:rPr>
                <w:rFonts w:ascii="Arial" w:hAnsi="Arial" w:cs="Arial"/>
                <w:sz w:val="22"/>
                <w:szCs w:val="22"/>
                <w:lang w:val="es-ES_tradnl"/>
              </w:rPr>
            </w:pPr>
          </w:p>
        </w:tc>
      </w:tr>
      <w:tr w:rsidR="00116967" w:rsidRPr="00C9494D" w14:paraId="18D2200B" w14:textId="77777777" w:rsidTr="00352B7D">
        <w:tc>
          <w:tcPr>
            <w:tcW w:w="8683" w:type="dxa"/>
            <w:tcBorders>
              <w:top w:val="nil"/>
              <w:left w:val="nil"/>
              <w:bottom w:val="nil"/>
              <w:right w:val="single" w:sz="4" w:space="0" w:color="auto"/>
            </w:tcBorders>
            <w:shd w:val="clear" w:color="auto" w:fill="auto"/>
          </w:tcPr>
          <w:p w14:paraId="3F1DAEF4" w14:textId="41105F0B" w:rsidR="00116967" w:rsidRPr="00C9494D" w:rsidRDefault="00116967" w:rsidP="00E22BAF">
            <w:pPr>
              <w:numPr>
                <w:ilvl w:val="2"/>
                <w:numId w:val="2"/>
              </w:numPr>
              <w:jc w:val="both"/>
              <w:rPr>
                <w:rFonts w:ascii="Arial" w:hAnsi="Arial" w:cs="Arial"/>
                <w:lang w:val="es-ES_tradnl"/>
              </w:rPr>
            </w:pPr>
            <w:r w:rsidRPr="00C9494D">
              <w:rPr>
                <w:rFonts w:ascii="Arial" w:hAnsi="Arial"/>
                <w:lang w:val="es-ES_tradnl"/>
              </w:rPr>
              <w:t>la criminalización de la violencia sexual en conflictos armados no se limite a la violación, sino que incluya otros actos, como por ejemplo la esclavitud sexual, la prostitución forzada, el embarazo forzado y la esterilización forzada;</w:t>
            </w:r>
          </w:p>
        </w:tc>
        <w:tc>
          <w:tcPr>
            <w:tcW w:w="384" w:type="dxa"/>
            <w:tcBorders>
              <w:top w:val="single" w:sz="4" w:space="0" w:color="auto"/>
              <w:left w:val="single" w:sz="4" w:space="0" w:color="auto"/>
              <w:right w:val="single" w:sz="4" w:space="0" w:color="auto"/>
            </w:tcBorders>
            <w:shd w:val="clear" w:color="auto" w:fill="DEEAF6"/>
          </w:tcPr>
          <w:p w14:paraId="70CD8E1F" w14:textId="77777777" w:rsidR="00116967" w:rsidRPr="00C9494D" w:rsidRDefault="00116967" w:rsidP="00944D26">
            <w:pPr>
              <w:jc w:val="both"/>
              <w:rPr>
                <w:rFonts w:ascii="Arial" w:hAnsi="Arial" w:cs="Arial"/>
                <w:sz w:val="22"/>
                <w:szCs w:val="22"/>
                <w:lang w:val="es-ES_tradnl"/>
              </w:rPr>
            </w:pPr>
          </w:p>
        </w:tc>
      </w:tr>
      <w:tr w:rsidR="00116967" w:rsidRPr="00C9494D" w14:paraId="5EFE1C9A" w14:textId="77777777" w:rsidTr="00352B7D">
        <w:tc>
          <w:tcPr>
            <w:tcW w:w="8683" w:type="dxa"/>
            <w:tcBorders>
              <w:top w:val="nil"/>
              <w:left w:val="nil"/>
              <w:bottom w:val="nil"/>
              <w:right w:val="single" w:sz="4" w:space="0" w:color="auto"/>
            </w:tcBorders>
            <w:shd w:val="clear" w:color="auto" w:fill="auto"/>
          </w:tcPr>
          <w:p w14:paraId="5024054F" w14:textId="121A6DB9" w:rsidR="00116967" w:rsidRPr="00C9494D" w:rsidRDefault="00116967" w:rsidP="00E22BAF">
            <w:pPr>
              <w:numPr>
                <w:ilvl w:val="2"/>
                <w:numId w:val="2"/>
              </w:numPr>
              <w:jc w:val="both"/>
              <w:rPr>
                <w:rFonts w:ascii="Arial" w:hAnsi="Arial" w:cs="Arial"/>
                <w:lang w:val="es-ES_tradnl"/>
              </w:rPr>
            </w:pPr>
            <w:r w:rsidRPr="00C9494D">
              <w:rPr>
                <w:rFonts w:ascii="Arial" w:hAnsi="Arial"/>
                <w:lang w:val="es-ES_tradnl"/>
              </w:rPr>
              <w:t xml:space="preserve">las definiciones jurídicas de crímenes sexuales sean neutrales en cuanto al género, incluida la revisión de los elementos materiales de cada crimen; </w:t>
            </w:r>
          </w:p>
        </w:tc>
        <w:tc>
          <w:tcPr>
            <w:tcW w:w="384" w:type="dxa"/>
            <w:tcBorders>
              <w:left w:val="single" w:sz="4" w:space="0" w:color="auto"/>
              <w:right w:val="single" w:sz="4" w:space="0" w:color="auto"/>
            </w:tcBorders>
            <w:shd w:val="clear" w:color="auto" w:fill="DEEAF6"/>
          </w:tcPr>
          <w:p w14:paraId="10EC9433" w14:textId="77777777" w:rsidR="00116967" w:rsidRPr="00C9494D" w:rsidRDefault="00116967" w:rsidP="00944D26">
            <w:pPr>
              <w:jc w:val="both"/>
              <w:rPr>
                <w:rFonts w:ascii="Arial" w:hAnsi="Arial" w:cs="Arial"/>
                <w:sz w:val="22"/>
                <w:szCs w:val="22"/>
                <w:lang w:val="es-ES_tradnl"/>
              </w:rPr>
            </w:pPr>
          </w:p>
        </w:tc>
      </w:tr>
      <w:tr w:rsidR="00116967" w:rsidRPr="00C9494D" w14:paraId="723A113D" w14:textId="77777777" w:rsidTr="00352B7D">
        <w:tc>
          <w:tcPr>
            <w:tcW w:w="8683" w:type="dxa"/>
            <w:tcBorders>
              <w:top w:val="nil"/>
              <w:left w:val="nil"/>
              <w:bottom w:val="nil"/>
              <w:right w:val="single" w:sz="4" w:space="0" w:color="auto"/>
            </w:tcBorders>
            <w:shd w:val="clear" w:color="auto" w:fill="auto"/>
          </w:tcPr>
          <w:p w14:paraId="559C2300" w14:textId="77777777" w:rsidR="00116967" w:rsidRPr="00C9494D" w:rsidRDefault="00116967" w:rsidP="00E22BAF">
            <w:pPr>
              <w:numPr>
                <w:ilvl w:val="2"/>
                <w:numId w:val="2"/>
              </w:numPr>
              <w:jc w:val="both"/>
              <w:rPr>
                <w:rFonts w:ascii="Arial" w:hAnsi="Arial" w:cs="Arial"/>
                <w:lang w:val="es-ES_tradnl"/>
              </w:rPr>
            </w:pPr>
            <w:r w:rsidRPr="00C9494D">
              <w:rPr>
                <w:rFonts w:ascii="Arial" w:hAnsi="Arial"/>
                <w:lang w:val="es-ES_tradnl"/>
              </w:rPr>
              <w:t>la definición jurídica de crímenes sexuales permita el enjuiciamiento de actores tanto civiles como militares.</w:t>
            </w:r>
          </w:p>
        </w:tc>
        <w:tc>
          <w:tcPr>
            <w:tcW w:w="384" w:type="dxa"/>
            <w:tcBorders>
              <w:left w:val="single" w:sz="4" w:space="0" w:color="auto"/>
              <w:right w:val="single" w:sz="4" w:space="0" w:color="auto"/>
            </w:tcBorders>
            <w:shd w:val="clear" w:color="auto" w:fill="DEEAF6"/>
          </w:tcPr>
          <w:p w14:paraId="61F795C8" w14:textId="77777777" w:rsidR="00116967" w:rsidRPr="00C9494D" w:rsidRDefault="00116967" w:rsidP="00944D26">
            <w:pPr>
              <w:jc w:val="both"/>
              <w:rPr>
                <w:rFonts w:ascii="Arial" w:hAnsi="Arial" w:cs="Arial"/>
                <w:sz w:val="22"/>
                <w:szCs w:val="22"/>
                <w:lang w:val="es-ES_tradnl"/>
              </w:rPr>
            </w:pPr>
          </w:p>
        </w:tc>
      </w:tr>
      <w:tr w:rsidR="00116967" w:rsidRPr="00C9494D" w14:paraId="1A927574" w14:textId="77777777" w:rsidTr="00352B7D">
        <w:tc>
          <w:tcPr>
            <w:tcW w:w="8683" w:type="dxa"/>
            <w:tcBorders>
              <w:top w:val="nil"/>
              <w:left w:val="nil"/>
              <w:bottom w:val="nil"/>
              <w:right w:val="single" w:sz="4" w:space="0" w:color="auto"/>
            </w:tcBorders>
            <w:shd w:val="clear" w:color="auto" w:fill="auto"/>
          </w:tcPr>
          <w:p w14:paraId="38B44D78" w14:textId="044608B5" w:rsidR="00116967" w:rsidRPr="00C9494D" w:rsidRDefault="00116967" w:rsidP="00E22BAF">
            <w:pPr>
              <w:numPr>
                <w:ilvl w:val="1"/>
                <w:numId w:val="2"/>
              </w:numPr>
              <w:jc w:val="both"/>
              <w:rPr>
                <w:rFonts w:ascii="Arial" w:hAnsi="Arial" w:cs="Arial"/>
                <w:lang w:val="es-ES_tradnl"/>
              </w:rPr>
            </w:pPr>
            <w:r w:rsidRPr="00C9494D">
              <w:rPr>
                <w:rFonts w:ascii="Arial" w:hAnsi="Arial"/>
                <w:lang w:val="es-ES_tradnl"/>
              </w:rPr>
              <w:t xml:space="preserve">Encomendar a las </w:t>
            </w:r>
            <w:r w:rsidRPr="00C9494D">
              <w:rPr>
                <w:rFonts w:ascii="Arial" w:hAnsi="Arial"/>
                <w:b/>
                <w:lang w:val="es-ES_tradnl"/>
              </w:rPr>
              <w:t>comisiones nacionales de DIH</w:t>
            </w:r>
            <w:r w:rsidRPr="00C9494D">
              <w:rPr>
                <w:rFonts w:ascii="Arial" w:hAnsi="Arial"/>
                <w:lang w:val="es-ES_tradnl"/>
              </w:rPr>
              <w:t xml:space="preserve"> o a otros organismos afines la tarea de asesorar y asistir a las autoridades nacionales en las actividades antes mencionadas.</w:t>
            </w:r>
          </w:p>
        </w:tc>
        <w:tc>
          <w:tcPr>
            <w:tcW w:w="384" w:type="dxa"/>
            <w:tcBorders>
              <w:left w:val="single" w:sz="4" w:space="0" w:color="auto"/>
              <w:right w:val="single" w:sz="4" w:space="0" w:color="auto"/>
            </w:tcBorders>
            <w:shd w:val="clear" w:color="auto" w:fill="DEEAF6"/>
          </w:tcPr>
          <w:p w14:paraId="780CB541" w14:textId="77777777" w:rsidR="00116967" w:rsidRPr="00C9494D" w:rsidRDefault="00116967" w:rsidP="00944D26">
            <w:pPr>
              <w:jc w:val="both"/>
              <w:rPr>
                <w:rFonts w:ascii="Arial" w:hAnsi="Arial" w:cs="Arial"/>
                <w:sz w:val="22"/>
                <w:szCs w:val="22"/>
                <w:lang w:val="es-ES_tradnl"/>
              </w:rPr>
            </w:pPr>
          </w:p>
        </w:tc>
      </w:tr>
      <w:tr w:rsidR="00116967" w:rsidRPr="00C9494D" w14:paraId="60A9A844" w14:textId="77777777" w:rsidTr="00352B7D">
        <w:tc>
          <w:tcPr>
            <w:tcW w:w="8683" w:type="dxa"/>
            <w:tcBorders>
              <w:top w:val="nil"/>
              <w:left w:val="nil"/>
              <w:bottom w:val="nil"/>
              <w:right w:val="single" w:sz="4" w:space="0" w:color="auto"/>
            </w:tcBorders>
            <w:shd w:val="clear" w:color="auto" w:fill="auto"/>
          </w:tcPr>
          <w:p w14:paraId="7FB099E9" w14:textId="77777777" w:rsidR="00116967" w:rsidRPr="00C9494D" w:rsidRDefault="00116967" w:rsidP="00E22BAF">
            <w:pPr>
              <w:numPr>
                <w:ilvl w:val="1"/>
                <w:numId w:val="2"/>
              </w:numPr>
              <w:jc w:val="both"/>
              <w:rPr>
                <w:rFonts w:ascii="Arial" w:hAnsi="Arial" w:cs="Arial"/>
                <w:lang w:val="es-ES_tradnl"/>
              </w:rPr>
            </w:pPr>
            <w:r w:rsidRPr="00C9494D">
              <w:rPr>
                <w:rFonts w:ascii="Arial" w:hAnsi="Arial"/>
                <w:lang w:val="es-ES_tradnl"/>
              </w:rPr>
              <w:t>Capacitar a legisladores, fiscales, personal judicial y otro personal pertinente para que puedan prestar apoyo en las actividades antes mencionadas.</w:t>
            </w:r>
          </w:p>
        </w:tc>
        <w:tc>
          <w:tcPr>
            <w:tcW w:w="384" w:type="dxa"/>
            <w:tcBorders>
              <w:left w:val="single" w:sz="4" w:space="0" w:color="auto"/>
              <w:right w:val="single" w:sz="4" w:space="0" w:color="auto"/>
            </w:tcBorders>
            <w:shd w:val="clear" w:color="auto" w:fill="DEEAF6"/>
          </w:tcPr>
          <w:p w14:paraId="350D7762" w14:textId="77777777" w:rsidR="00116967" w:rsidRPr="00C9494D" w:rsidRDefault="00116967" w:rsidP="00944D26">
            <w:pPr>
              <w:jc w:val="both"/>
              <w:rPr>
                <w:rFonts w:ascii="Arial" w:hAnsi="Arial" w:cs="Arial"/>
                <w:sz w:val="22"/>
                <w:szCs w:val="22"/>
                <w:lang w:val="es-ES_tradnl"/>
              </w:rPr>
            </w:pPr>
          </w:p>
        </w:tc>
      </w:tr>
      <w:tr w:rsidR="00116967" w:rsidRPr="00C9494D" w14:paraId="38038D91" w14:textId="77777777" w:rsidTr="00352B7D">
        <w:tc>
          <w:tcPr>
            <w:tcW w:w="8683" w:type="dxa"/>
            <w:tcBorders>
              <w:top w:val="nil"/>
              <w:left w:val="nil"/>
              <w:bottom w:val="nil"/>
              <w:right w:val="single" w:sz="4" w:space="0" w:color="auto"/>
            </w:tcBorders>
            <w:shd w:val="clear" w:color="auto" w:fill="auto"/>
          </w:tcPr>
          <w:p w14:paraId="67A92559" w14:textId="72C65080" w:rsidR="00116967" w:rsidRPr="00C9494D" w:rsidRDefault="00116967" w:rsidP="00E22BAF">
            <w:pPr>
              <w:numPr>
                <w:ilvl w:val="1"/>
                <w:numId w:val="2"/>
              </w:numPr>
              <w:jc w:val="both"/>
              <w:rPr>
                <w:rFonts w:ascii="Arial" w:hAnsi="Arial" w:cs="Arial"/>
                <w:lang w:val="es-ES_tradnl"/>
              </w:rPr>
            </w:pPr>
            <w:r w:rsidRPr="00C9494D">
              <w:rPr>
                <w:rFonts w:ascii="Arial" w:hAnsi="Arial"/>
                <w:lang w:val="es-ES_tradnl"/>
              </w:rPr>
              <w:t xml:space="preserve">Trabajar junto con el </w:t>
            </w:r>
            <w:r w:rsidRPr="00C9494D">
              <w:rPr>
                <w:rFonts w:ascii="Arial" w:hAnsi="Arial"/>
                <w:b/>
                <w:lang w:val="es-ES_tradnl"/>
              </w:rPr>
              <w:t>Servicio de Asesoramiento en Derecho Internacional Humanitario del CICR</w:t>
            </w:r>
            <w:r w:rsidRPr="00C9494D">
              <w:rPr>
                <w:rFonts w:ascii="Arial" w:hAnsi="Arial"/>
                <w:lang w:val="es-ES_tradnl"/>
              </w:rPr>
              <w:t xml:space="preserve"> o con otros componentes del Movimiento, según corresponda, cuando se necesite asesoramiento técnico para la puesta en práctica de las actividades antes mencionadas. </w:t>
            </w:r>
          </w:p>
        </w:tc>
        <w:tc>
          <w:tcPr>
            <w:tcW w:w="384" w:type="dxa"/>
            <w:tcBorders>
              <w:left w:val="single" w:sz="4" w:space="0" w:color="auto"/>
              <w:right w:val="single" w:sz="4" w:space="0" w:color="auto"/>
            </w:tcBorders>
            <w:shd w:val="clear" w:color="auto" w:fill="DEEAF6"/>
          </w:tcPr>
          <w:p w14:paraId="5F0AAFB5" w14:textId="77777777" w:rsidR="00116967" w:rsidRPr="00C9494D" w:rsidRDefault="00116967" w:rsidP="00944D26">
            <w:pPr>
              <w:jc w:val="both"/>
              <w:rPr>
                <w:rFonts w:ascii="Arial" w:hAnsi="Arial" w:cs="Arial"/>
                <w:sz w:val="22"/>
                <w:szCs w:val="22"/>
                <w:lang w:val="es-ES_tradnl"/>
              </w:rPr>
            </w:pPr>
          </w:p>
        </w:tc>
      </w:tr>
      <w:tr w:rsidR="003C27E0" w:rsidRPr="00C9494D" w14:paraId="603DCD5A" w14:textId="77777777" w:rsidTr="00352B7D">
        <w:trPr>
          <w:trHeight w:val="713"/>
        </w:trPr>
        <w:tc>
          <w:tcPr>
            <w:tcW w:w="8683" w:type="dxa"/>
            <w:vMerge w:val="restart"/>
            <w:tcBorders>
              <w:top w:val="nil"/>
              <w:left w:val="nil"/>
              <w:right w:val="single" w:sz="4" w:space="0" w:color="auto"/>
            </w:tcBorders>
            <w:shd w:val="clear" w:color="auto" w:fill="auto"/>
          </w:tcPr>
          <w:p w14:paraId="5F9F0233" w14:textId="22ECA18E" w:rsidR="003C27E0" w:rsidRPr="00C9494D" w:rsidRDefault="003C27E0" w:rsidP="006F0155">
            <w:pPr>
              <w:numPr>
                <w:ilvl w:val="0"/>
                <w:numId w:val="5"/>
              </w:numPr>
              <w:overflowPunct/>
              <w:ind w:left="1058"/>
              <w:jc w:val="both"/>
              <w:textAlignment w:val="auto"/>
              <w:rPr>
                <w:rFonts w:ascii="Arial" w:hAnsi="Arial" w:cs="Arial"/>
                <w:lang w:val="es-ES_tradnl"/>
              </w:rPr>
            </w:pPr>
            <w:bookmarkStart w:id="0" w:name="_Hlk16588018"/>
            <w:r w:rsidRPr="00C9494D">
              <w:rPr>
                <w:rFonts w:ascii="Arial" w:hAnsi="Arial"/>
                <w:bCs/>
                <w:lang w:val="es-ES_tradnl"/>
              </w:rPr>
              <w:t>Modificar, de ser necesario, los marcos jurídicos internos relativos a la violencia sexual y por motivos de género, incluidos, por ejemplo, los relativos a desastres y otras emergencias, a fin de implementar plenamente las obligaciones internacionales aplicables.</w:t>
            </w:r>
          </w:p>
          <w:bookmarkEnd w:id="0"/>
          <w:p w14:paraId="7B5AD335" w14:textId="0DC8ABCC" w:rsidR="003C27E0" w:rsidRPr="00C9494D" w:rsidRDefault="003C27E0" w:rsidP="00E22BAF">
            <w:pPr>
              <w:numPr>
                <w:ilvl w:val="0"/>
                <w:numId w:val="5"/>
              </w:numPr>
              <w:overflowPunct/>
              <w:ind w:left="1058"/>
              <w:jc w:val="both"/>
              <w:textAlignment w:val="auto"/>
              <w:rPr>
                <w:rFonts w:ascii="Arial" w:hAnsi="Arial" w:cs="Arial"/>
                <w:lang w:val="es-ES_tradnl"/>
              </w:rPr>
            </w:pPr>
            <w:r w:rsidRPr="00C9494D">
              <w:rPr>
                <w:rFonts w:ascii="Arial" w:hAnsi="Arial"/>
                <w:lang w:val="es-ES_tradnl"/>
              </w:rPr>
              <w:t>Garantizar que los ministerios y las dependencias gubernamentales que tienen la responsabilidad de prevenir la violencia sexual y por motivos de género y de intervenir ante ella tengan la obligación, por ley o por reglamento, de elaborar o de modificar planes de contingencia en casos de desastre con el objetivo de facilitar la continuidad de la prevención y de la intervención en caso de violencia sexual y por motivos de género durante desastres, y que se les otorguen los fondos necesarios para ello.</w:t>
            </w:r>
          </w:p>
        </w:tc>
        <w:tc>
          <w:tcPr>
            <w:tcW w:w="384" w:type="dxa"/>
            <w:tcBorders>
              <w:left w:val="single" w:sz="4" w:space="0" w:color="auto"/>
              <w:right w:val="single" w:sz="4" w:space="0" w:color="auto"/>
            </w:tcBorders>
            <w:shd w:val="clear" w:color="auto" w:fill="DEEAF6"/>
          </w:tcPr>
          <w:p w14:paraId="666588CB" w14:textId="77777777" w:rsidR="003C27E0" w:rsidRPr="00C9494D" w:rsidRDefault="003C27E0" w:rsidP="00944D26">
            <w:pPr>
              <w:overflowPunct/>
              <w:textAlignment w:val="auto"/>
              <w:rPr>
                <w:rFonts w:ascii="Arial" w:hAnsi="Arial" w:cs="Arial"/>
                <w:sz w:val="22"/>
                <w:szCs w:val="22"/>
                <w:lang w:val="es-ES_tradnl" w:eastAsia="nb-NO"/>
              </w:rPr>
            </w:pPr>
          </w:p>
        </w:tc>
      </w:tr>
      <w:tr w:rsidR="003C27E0" w:rsidRPr="00C9494D" w14:paraId="1248AAB5" w14:textId="77777777" w:rsidTr="00352B7D">
        <w:trPr>
          <w:trHeight w:val="1035"/>
        </w:trPr>
        <w:tc>
          <w:tcPr>
            <w:tcW w:w="8683" w:type="dxa"/>
            <w:vMerge/>
            <w:tcBorders>
              <w:left w:val="nil"/>
              <w:bottom w:val="nil"/>
              <w:right w:val="single" w:sz="4" w:space="0" w:color="auto"/>
            </w:tcBorders>
            <w:shd w:val="clear" w:color="auto" w:fill="auto"/>
          </w:tcPr>
          <w:p w14:paraId="4FE892D8" w14:textId="77777777" w:rsidR="003C27E0" w:rsidRPr="00C9494D" w:rsidRDefault="003C27E0" w:rsidP="006F0155">
            <w:pPr>
              <w:numPr>
                <w:ilvl w:val="0"/>
                <w:numId w:val="5"/>
              </w:numPr>
              <w:overflowPunct/>
              <w:ind w:left="1058"/>
              <w:jc w:val="both"/>
              <w:textAlignment w:val="auto"/>
              <w:rPr>
                <w:rFonts w:ascii="Arial" w:hAnsi="Arial" w:cs="Arial"/>
                <w:bCs/>
                <w:lang w:val="es-ES_tradnl"/>
              </w:rPr>
            </w:pPr>
          </w:p>
        </w:tc>
        <w:tc>
          <w:tcPr>
            <w:tcW w:w="384" w:type="dxa"/>
            <w:tcBorders>
              <w:left w:val="single" w:sz="4" w:space="0" w:color="auto"/>
              <w:right w:val="single" w:sz="4" w:space="0" w:color="auto"/>
            </w:tcBorders>
            <w:shd w:val="clear" w:color="auto" w:fill="DEEAF6"/>
          </w:tcPr>
          <w:p w14:paraId="28565005" w14:textId="77777777" w:rsidR="003C27E0" w:rsidRPr="00C9494D" w:rsidRDefault="003C27E0" w:rsidP="00944D26">
            <w:pPr>
              <w:overflowPunct/>
              <w:textAlignment w:val="auto"/>
              <w:rPr>
                <w:rFonts w:ascii="Arial" w:hAnsi="Arial" w:cs="Arial"/>
                <w:sz w:val="22"/>
                <w:szCs w:val="22"/>
                <w:lang w:val="es-ES_tradnl" w:eastAsia="nb-NO"/>
              </w:rPr>
            </w:pPr>
          </w:p>
        </w:tc>
      </w:tr>
      <w:tr w:rsidR="00116967" w:rsidRPr="00C9494D" w14:paraId="7805A580" w14:textId="77777777" w:rsidTr="00352B7D">
        <w:tc>
          <w:tcPr>
            <w:tcW w:w="8683" w:type="dxa"/>
            <w:tcBorders>
              <w:top w:val="nil"/>
              <w:left w:val="nil"/>
              <w:bottom w:val="nil"/>
              <w:right w:val="single" w:sz="4" w:space="0" w:color="auto"/>
            </w:tcBorders>
            <w:shd w:val="clear" w:color="auto" w:fill="auto"/>
          </w:tcPr>
          <w:p w14:paraId="3DFBEE55" w14:textId="022ACD9B" w:rsidR="00116967" w:rsidRPr="00C9494D" w:rsidRDefault="00116967" w:rsidP="00E22BAF">
            <w:pPr>
              <w:numPr>
                <w:ilvl w:val="0"/>
                <w:numId w:val="5"/>
              </w:numPr>
              <w:overflowPunct/>
              <w:ind w:left="1058"/>
              <w:jc w:val="both"/>
              <w:textAlignment w:val="auto"/>
              <w:rPr>
                <w:rFonts w:ascii="Arial" w:hAnsi="Arial" w:cs="Arial"/>
                <w:lang w:val="es-ES_tradnl"/>
              </w:rPr>
            </w:pPr>
            <w:r w:rsidRPr="00C9494D">
              <w:rPr>
                <w:rFonts w:ascii="Arial" w:hAnsi="Arial"/>
                <w:lang w:val="es-ES_tradnl"/>
              </w:rPr>
              <w:t>Integrar la atención específica de las cuestiones relativas al género y la diversidad en las leyes y las políticas sobre desastres, y revisar las políticas y las prácticas públicas que den lugar a discriminación o exclusión.</w:t>
            </w:r>
          </w:p>
        </w:tc>
        <w:tc>
          <w:tcPr>
            <w:tcW w:w="384" w:type="dxa"/>
            <w:tcBorders>
              <w:left w:val="single" w:sz="4" w:space="0" w:color="auto"/>
              <w:right w:val="single" w:sz="4" w:space="0" w:color="auto"/>
            </w:tcBorders>
            <w:shd w:val="clear" w:color="auto" w:fill="DEEAF6"/>
          </w:tcPr>
          <w:p w14:paraId="04F2F74B" w14:textId="77777777" w:rsidR="00116967" w:rsidRPr="00C9494D" w:rsidRDefault="00116967" w:rsidP="00944D26">
            <w:pPr>
              <w:overflowPunct/>
              <w:jc w:val="both"/>
              <w:textAlignment w:val="auto"/>
              <w:rPr>
                <w:rFonts w:ascii="Arial" w:hAnsi="Arial" w:cs="Arial"/>
                <w:sz w:val="22"/>
                <w:szCs w:val="22"/>
                <w:lang w:val="es-ES_tradnl" w:eastAsia="nb-NO"/>
              </w:rPr>
            </w:pPr>
          </w:p>
        </w:tc>
      </w:tr>
      <w:tr w:rsidR="00116967" w:rsidRPr="00C9494D" w14:paraId="4031FD41" w14:textId="77777777" w:rsidTr="00352B7D">
        <w:tc>
          <w:tcPr>
            <w:tcW w:w="8683" w:type="dxa"/>
            <w:tcBorders>
              <w:top w:val="nil"/>
              <w:left w:val="nil"/>
              <w:bottom w:val="nil"/>
              <w:right w:val="single" w:sz="4" w:space="0" w:color="auto"/>
            </w:tcBorders>
            <w:shd w:val="clear" w:color="auto" w:fill="auto"/>
          </w:tcPr>
          <w:p w14:paraId="0BAB149E" w14:textId="1B09D062" w:rsidR="00116967" w:rsidRPr="00C9494D" w:rsidRDefault="00116967" w:rsidP="00E22BAF">
            <w:pPr>
              <w:numPr>
                <w:ilvl w:val="0"/>
                <w:numId w:val="5"/>
              </w:numPr>
              <w:overflowPunct/>
              <w:ind w:left="1058"/>
              <w:jc w:val="both"/>
              <w:textAlignment w:val="auto"/>
              <w:rPr>
                <w:rFonts w:ascii="Arial" w:hAnsi="Arial" w:cs="Arial"/>
                <w:lang w:val="es-ES_tradnl"/>
              </w:rPr>
            </w:pPr>
            <w:r w:rsidRPr="00C9494D">
              <w:rPr>
                <w:rFonts w:ascii="Arial" w:hAnsi="Arial"/>
                <w:lang w:val="es-ES_tradnl"/>
              </w:rPr>
              <w:t xml:space="preserve">Consultar a la </w:t>
            </w:r>
            <w:r w:rsidRPr="00C9494D">
              <w:rPr>
                <w:rFonts w:ascii="Arial" w:hAnsi="Arial"/>
                <w:b/>
                <w:lang w:val="es-ES_tradnl"/>
              </w:rPr>
              <w:t>Sociedad Nacional de la Cruz Roja o de la Media Luna Roja</w:t>
            </w:r>
            <w:r w:rsidRPr="00C9494D">
              <w:rPr>
                <w:rFonts w:ascii="Arial" w:hAnsi="Arial"/>
                <w:lang w:val="es-ES_tradnl"/>
              </w:rPr>
              <w:t xml:space="preserve"> que corresponda y a la Federación Internacional, en particular al </w:t>
            </w:r>
            <w:r w:rsidRPr="00C9494D">
              <w:rPr>
                <w:rFonts w:ascii="Arial" w:hAnsi="Arial"/>
                <w:b/>
                <w:lang w:val="es-ES_tradnl"/>
              </w:rPr>
              <w:t>Programa sobre derecho relativo a desastres</w:t>
            </w:r>
            <w:r w:rsidRPr="00C9494D">
              <w:rPr>
                <w:rFonts w:ascii="Arial" w:hAnsi="Arial"/>
                <w:lang w:val="es-ES_tradnl"/>
              </w:rPr>
              <w:t xml:space="preserve"> y a los </w:t>
            </w:r>
            <w:r w:rsidRPr="00C9494D">
              <w:rPr>
                <w:rFonts w:ascii="Arial" w:hAnsi="Arial"/>
                <w:b/>
                <w:lang w:val="es-ES_tradnl"/>
              </w:rPr>
              <w:t>delegados o coordinadores de Protección, Género e Inclusión</w:t>
            </w:r>
            <w:r w:rsidRPr="00C9494D">
              <w:rPr>
                <w:rFonts w:ascii="Arial" w:hAnsi="Arial"/>
                <w:lang w:val="es-ES_tradnl"/>
              </w:rPr>
              <w:t xml:space="preserve">, y a otros actores del sector humanitario y de desarrollo, según corresponda, para solicitar asesoramiento técnico, asistencia, fortalecimiento de capacidad e intercambio de experiencias. </w:t>
            </w:r>
          </w:p>
        </w:tc>
        <w:tc>
          <w:tcPr>
            <w:tcW w:w="384" w:type="dxa"/>
            <w:tcBorders>
              <w:left w:val="single" w:sz="4" w:space="0" w:color="auto"/>
              <w:bottom w:val="single" w:sz="4" w:space="0" w:color="auto"/>
              <w:right w:val="single" w:sz="4" w:space="0" w:color="auto"/>
            </w:tcBorders>
            <w:shd w:val="clear" w:color="auto" w:fill="DEEAF6"/>
          </w:tcPr>
          <w:p w14:paraId="3D42A147" w14:textId="77777777" w:rsidR="00116967" w:rsidRPr="00C9494D" w:rsidRDefault="00116967" w:rsidP="00944D26">
            <w:pPr>
              <w:overflowPunct/>
              <w:textAlignment w:val="auto"/>
              <w:rPr>
                <w:rFonts w:ascii="Arial" w:hAnsi="Arial" w:cs="Arial"/>
                <w:sz w:val="22"/>
                <w:szCs w:val="22"/>
                <w:lang w:val="es-ES_tradnl" w:eastAsia="nb-NO"/>
              </w:rPr>
            </w:pPr>
          </w:p>
        </w:tc>
      </w:tr>
    </w:tbl>
    <w:p w14:paraId="58CD85FF" w14:textId="77777777" w:rsidR="005F30C2" w:rsidRPr="00C9494D" w:rsidRDefault="005F30C2" w:rsidP="00CD741B">
      <w:pPr>
        <w:ind w:left="1440"/>
        <w:jc w:val="both"/>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8"/>
        <w:gridCol w:w="384"/>
      </w:tblGrid>
      <w:tr w:rsidR="00DA2D01" w:rsidRPr="00C9494D" w14:paraId="62368CDE" w14:textId="77777777" w:rsidTr="00352B7D">
        <w:tc>
          <w:tcPr>
            <w:tcW w:w="8688" w:type="dxa"/>
            <w:tcBorders>
              <w:top w:val="nil"/>
              <w:left w:val="nil"/>
              <w:bottom w:val="nil"/>
              <w:right w:val="nil"/>
            </w:tcBorders>
            <w:shd w:val="clear" w:color="auto" w:fill="auto"/>
          </w:tcPr>
          <w:p w14:paraId="5F9A6A3E" w14:textId="77777777" w:rsidR="00DA2D01" w:rsidRPr="00C9494D" w:rsidRDefault="00DA2D01" w:rsidP="00E22BAF">
            <w:pPr>
              <w:numPr>
                <w:ilvl w:val="0"/>
                <w:numId w:val="2"/>
              </w:numPr>
              <w:jc w:val="both"/>
              <w:rPr>
                <w:rFonts w:ascii="Arial" w:hAnsi="Arial" w:cs="Arial"/>
                <w:bCs/>
                <w:sz w:val="22"/>
                <w:szCs w:val="22"/>
                <w:lang w:val="es-ES_tradnl"/>
              </w:rPr>
            </w:pPr>
            <w:r w:rsidRPr="00C9494D">
              <w:rPr>
                <w:rFonts w:ascii="Arial" w:hAnsi="Arial"/>
                <w:bCs/>
                <w:sz w:val="22"/>
                <w:szCs w:val="22"/>
                <w:lang w:val="es-ES_tradnl"/>
              </w:rPr>
              <w:t xml:space="preserve">Difundir el derecho internacional humanitario, incluidas sus disposiciones vigentes que prohíben la violencia sexual en conflictos armados, lo más ampliamente posible en los respectivos países y, en especial, en los programas de instrucción militar y, si es posible, civil, y hacer todos los esfuerzos posibles para </w:t>
            </w:r>
            <w:r w:rsidRPr="00C9494D">
              <w:rPr>
                <w:rFonts w:ascii="Arial" w:hAnsi="Arial"/>
                <w:b/>
                <w:bCs/>
                <w:sz w:val="22"/>
                <w:szCs w:val="22"/>
                <w:lang w:val="es-ES_tradnl"/>
              </w:rPr>
              <w:t>integrar plenamente esas prohibiciones de la violencia sexual en todas las actividades de las fuerzas armadas y de seguridad y entre las autoridades detenedoras</w:t>
            </w:r>
            <w:r w:rsidRPr="00C9494D">
              <w:rPr>
                <w:rFonts w:ascii="Arial" w:hAnsi="Arial"/>
                <w:bCs/>
                <w:sz w:val="22"/>
                <w:szCs w:val="22"/>
                <w:lang w:val="es-ES_tradnl"/>
              </w:rPr>
              <w:t xml:space="preserve">, con el apoyo de los componentes del Movimiento, según corresponda, </w:t>
            </w:r>
            <w:r w:rsidRPr="00C9494D">
              <w:rPr>
                <w:rFonts w:ascii="Arial" w:hAnsi="Arial"/>
                <w:bCs/>
                <w:sz w:val="22"/>
                <w:szCs w:val="22"/>
                <w:u w:val="single"/>
                <w:lang w:val="es-ES_tradnl"/>
              </w:rPr>
              <w:t>especialmente a través de las siguientes actividades</w:t>
            </w:r>
            <w:r w:rsidRPr="00C9494D">
              <w:rPr>
                <w:rFonts w:ascii="Arial" w:hAnsi="Arial"/>
                <w:bCs/>
                <w:sz w:val="22"/>
                <w:szCs w:val="22"/>
                <w:lang w:val="es-ES_tradnl"/>
              </w:rPr>
              <w:t xml:space="preserve">: </w:t>
            </w:r>
          </w:p>
        </w:tc>
        <w:tc>
          <w:tcPr>
            <w:tcW w:w="384" w:type="dxa"/>
            <w:tcBorders>
              <w:top w:val="nil"/>
              <w:left w:val="nil"/>
              <w:bottom w:val="single" w:sz="4" w:space="0" w:color="auto"/>
              <w:right w:val="nil"/>
            </w:tcBorders>
            <w:shd w:val="clear" w:color="auto" w:fill="auto"/>
          </w:tcPr>
          <w:p w14:paraId="41EAA7DC" w14:textId="77777777" w:rsidR="00DA2D01" w:rsidRPr="00C9494D" w:rsidRDefault="00DA2D01" w:rsidP="00944D26">
            <w:pPr>
              <w:jc w:val="both"/>
              <w:rPr>
                <w:rFonts w:ascii="Arial" w:hAnsi="Arial" w:cs="Arial"/>
                <w:bCs/>
                <w:sz w:val="22"/>
                <w:szCs w:val="22"/>
                <w:lang w:val="es-ES_tradnl"/>
              </w:rPr>
            </w:pPr>
          </w:p>
        </w:tc>
      </w:tr>
      <w:tr w:rsidR="00DA2D01" w:rsidRPr="00C9494D" w14:paraId="10865F02" w14:textId="77777777" w:rsidTr="00352B7D">
        <w:tc>
          <w:tcPr>
            <w:tcW w:w="8688" w:type="dxa"/>
            <w:tcBorders>
              <w:top w:val="nil"/>
              <w:left w:val="nil"/>
              <w:bottom w:val="nil"/>
              <w:right w:val="single" w:sz="4" w:space="0" w:color="auto"/>
            </w:tcBorders>
            <w:shd w:val="clear" w:color="auto" w:fill="auto"/>
          </w:tcPr>
          <w:p w14:paraId="61C71AB4" w14:textId="43522F56" w:rsidR="00DA2D01" w:rsidRPr="00C9494D" w:rsidRDefault="00DA2D01" w:rsidP="00E22BAF">
            <w:pPr>
              <w:numPr>
                <w:ilvl w:val="0"/>
                <w:numId w:val="5"/>
              </w:numPr>
              <w:overflowPunct/>
              <w:ind w:left="1058"/>
              <w:jc w:val="both"/>
              <w:textAlignment w:val="auto"/>
              <w:rPr>
                <w:rFonts w:ascii="Arial" w:hAnsi="Arial" w:cs="Arial"/>
                <w:bCs/>
                <w:lang w:val="es-ES_tradnl"/>
              </w:rPr>
            </w:pPr>
            <w:r w:rsidRPr="00C9494D">
              <w:rPr>
                <w:rFonts w:ascii="Arial" w:hAnsi="Arial"/>
                <w:lang w:val="es-ES_tradnl"/>
              </w:rPr>
              <w:t>tomar las medidas necesarias para que la cuestión de la violencia sexual en conflictos armados esté incorporada en los programas de instrucción y los códigos de conducta de las fuerzas armadas y de seguridad y de las autoridades detenedoras;</w:t>
            </w:r>
            <w:r w:rsidRPr="00C9494D">
              <w:rPr>
                <w:rFonts w:ascii="Arial" w:hAnsi="Arial"/>
                <w:bCs/>
                <w:lang w:val="es-ES_tradnl"/>
              </w:rPr>
              <w:t xml:space="preserve"> </w:t>
            </w:r>
          </w:p>
        </w:tc>
        <w:tc>
          <w:tcPr>
            <w:tcW w:w="384" w:type="dxa"/>
            <w:tcBorders>
              <w:top w:val="single" w:sz="4" w:space="0" w:color="auto"/>
              <w:left w:val="single" w:sz="4" w:space="0" w:color="auto"/>
              <w:right w:val="single" w:sz="4" w:space="0" w:color="auto"/>
            </w:tcBorders>
            <w:shd w:val="clear" w:color="auto" w:fill="DEEAF6"/>
          </w:tcPr>
          <w:p w14:paraId="2E586779" w14:textId="77777777" w:rsidR="00DA2D01" w:rsidRPr="00C9494D" w:rsidRDefault="00DA2D01" w:rsidP="00944D26">
            <w:pPr>
              <w:overflowPunct/>
              <w:jc w:val="both"/>
              <w:textAlignment w:val="auto"/>
              <w:rPr>
                <w:rFonts w:ascii="Arial" w:hAnsi="Arial" w:cs="Arial"/>
                <w:sz w:val="22"/>
                <w:szCs w:val="22"/>
                <w:lang w:val="es-ES_tradnl" w:eastAsia="nb-NO"/>
              </w:rPr>
            </w:pPr>
          </w:p>
        </w:tc>
      </w:tr>
      <w:tr w:rsidR="00DA2D01" w:rsidRPr="00C9494D" w14:paraId="1C400880" w14:textId="77777777" w:rsidTr="00352B7D">
        <w:tc>
          <w:tcPr>
            <w:tcW w:w="8688" w:type="dxa"/>
            <w:tcBorders>
              <w:top w:val="nil"/>
              <w:left w:val="nil"/>
              <w:bottom w:val="nil"/>
              <w:right w:val="single" w:sz="4" w:space="0" w:color="auto"/>
            </w:tcBorders>
            <w:shd w:val="clear" w:color="auto" w:fill="auto"/>
          </w:tcPr>
          <w:p w14:paraId="0DF77F3C" w14:textId="2E1F0512" w:rsidR="00DA2D01" w:rsidRPr="00C9494D" w:rsidRDefault="00DA2D01" w:rsidP="00E22BAF">
            <w:pPr>
              <w:numPr>
                <w:ilvl w:val="0"/>
                <w:numId w:val="5"/>
              </w:numPr>
              <w:overflowPunct/>
              <w:ind w:left="1058"/>
              <w:jc w:val="both"/>
              <w:textAlignment w:val="auto"/>
              <w:rPr>
                <w:rFonts w:ascii="Arial" w:hAnsi="Arial" w:cs="Arial"/>
                <w:bCs/>
                <w:lang w:val="es-ES_tradnl"/>
              </w:rPr>
            </w:pPr>
            <w:r w:rsidRPr="00C9494D">
              <w:rPr>
                <w:rFonts w:ascii="Arial" w:hAnsi="Arial"/>
                <w:lang w:val="es-ES_tradnl"/>
              </w:rPr>
              <w:t>organizar [o participar en] una reunión de expertos para generar intercambios entre las fuerzas armadas y de seguridad y las autoridades detenedoras en relación con experiencias y prácticas idóneas relativas a la prevención de la violencia sexual en conflictos armados;</w:t>
            </w:r>
            <w:r w:rsidRPr="00C9494D">
              <w:rPr>
                <w:rFonts w:ascii="Arial" w:hAnsi="Arial"/>
                <w:bCs/>
                <w:lang w:val="es-ES_tradnl"/>
              </w:rPr>
              <w:t xml:space="preserve"> </w:t>
            </w:r>
          </w:p>
        </w:tc>
        <w:tc>
          <w:tcPr>
            <w:tcW w:w="384" w:type="dxa"/>
            <w:tcBorders>
              <w:left w:val="single" w:sz="4" w:space="0" w:color="auto"/>
              <w:right w:val="single" w:sz="4" w:space="0" w:color="auto"/>
            </w:tcBorders>
            <w:shd w:val="clear" w:color="auto" w:fill="DEEAF6"/>
          </w:tcPr>
          <w:p w14:paraId="6AD8DA6A" w14:textId="77777777" w:rsidR="00DA2D01" w:rsidRPr="00C9494D" w:rsidRDefault="00DA2D01" w:rsidP="00944D26">
            <w:pPr>
              <w:overflowPunct/>
              <w:jc w:val="both"/>
              <w:textAlignment w:val="auto"/>
              <w:rPr>
                <w:rFonts w:ascii="Arial" w:hAnsi="Arial" w:cs="Arial"/>
                <w:sz w:val="22"/>
                <w:szCs w:val="22"/>
                <w:lang w:val="es-ES_tradnl" w:eastAsia="nb-NO"/>
              </w:rPr>
            </w:pPr>
          </w:p>
        </w:tc>
      </w:tr>
      <w:tr w:rsidR="00DA2D01" w:rsidRPr="00C9494D" w14:paraId="7406C21A" w14:textId="77777777" w:rsidTr="00352B7D">
        <w:tc>
          <w:tcPr>
            <w:tcW w:w="8688" w:type="dxa"/>
            <w:tcBorders>
              <w:top w:val="nil"/>
              <w:left w:val="nil"/>
              <w:bottom w:val="nil"/>
              <w:right w:val="single" w:sz="4" w:space="0" w:color="auto"/>
            </w:tcBorders>
            <w:shd w:val="clear" w:color="auto" w:fill="auto"/>
          </w:tcPr>
          <w:p w14:paraId="5F92D0DE" w14:textId="2491377E" w:rsidR="00DA2D01" w:rsidRPr="00C9494D" w:rsidRDefault="00DA2D01" w:rsidP="00E22BAF">
            <w:pPr>
              <w:numPr>
                <w:ilvl w:val="0"/>
                <w:numId w:val="5"/>
              </w:numPr>
              <w:overflowPunct/>
              <w:ind w:left="1058"/>
              <w:jc w:val="both"/>
              <w:textAlignment w:val="auto"/>
              <w:rPr>
                <w:rFonts w:ascii="Arial" w:hAnsi="Arial" w:cs="Arial"/>
                <w:lang w:val="es-ES_tradnl"/>
              </w:rPr>
            </w:pPr>
            <w:r w:rsidRPr="00C9494D">
              <w:rPr>
                <w:rFonts w:ascii="Arial" w:hAnsi="Arial"/>
                <w:lang w:val="es-ES_tradnl"/>
              </w:rPr>
              <w:t xml:space="preserve">consultar a la </w:t>
            </w:r>
            <w:r w:rsidRPr="00C9494D">
              <w:rPr>
                <w:rFonts w:ascii="Arial" w:hAnsi="Arial"/>
                <w:b/>
                <w:lang w:val="es-ES_tradnl"/>
              </w:rPr>
              <w:t>Sociedad Nacional de la Cruz Roja o de la Cruz Roja</w:t>
            </w:r>
            <w:r w:rsidRPr="00C9494D">
              <w:rPr>
                <w:rFonts w:ascii="Arial" w:hAnsi="Arial"/>
                <w:lang w:val="es-ES_tradnl"/>
              </w:rPr>
              <w:t xml:space="preserve"> que corresponda y al CICR, en particular la </w:t>
            </w:r>
            <w:r w:rsidRPr="00C9494D">
              <w:rPr>
                <w:rFonts w:ascii="Arial" w:hAnsi="Arial"/>
                <w:b/>
                <w:lang w:val="es-ES_tradnl"/>
              </w:rPr>
              <w:t>Unidad del CICR de Diálogo con l</w:t>
            </w:r>
            <w:r w:rsidR="00B31C18">
              <w:rPr>
                <w:rFonts w:ascii="Arial" w:hAnsi="Arial"/>
                <w:b/>
                <w:lang w:val="es-ES_tradnl"/>
              </w:rPr>
              <w:t>o</w:t>
            </w:r>
            <w:r w:rsidRPr="00C9494D">
              <w:rPr>
                <w:rFonts w:ascii="Arial" w:hAnsi="Arial"/>
                <w:b/>
                <w:lang w:val="es-ES_tradnl"/>
              </w:rPr>
              <w:t xml:space="preserve">s </w:t>
            </w:r>
            <w:r w:rsidR="00B31C18">
              <w:rPr>
                <w:rFonts w:ascii="Arial" w:hAnsi="Arial"/>
                <w:b/>
                <w:lang w:val="es-ES_tradnl"/>
              </w:rPr>
              <w:lastRenderedPageBreak/>
              <w:t>Portadores de Armas</w:t>
            </w:r>
            <w:bookmarkStart w:id="1" w:name="_GoBack"/>
            <w:bookmarkEnd w:id="1"/>
            <w:r w:rsidRPr="00C9494D">
              <w:rPr>
                <w:rFonts w:ascii="Arial" w:hAnsi="Arial"/>
                <w:lang w:val="es-ES_tradnl"/>
              </w:rPr>
              <w:t xml:space="preserve">, según corresponda, cuando se necesite asesoramiento técnico para la puesta en práctica de las actividades mencionadas.  </w:t>
            </w:r>
          </w:p>
        </w:tc>
        <w:tc>
          <w:tcPr>
            <w:tcW w:w="384" w:type="dxa"/>
            <w:tcBorders>
              <w:left w:val="single" w:sz="4" w:space="0" w:color="auto"/>
              <w:bottom w:val="single" w:sz="4" w:space="0" w:color="auto"/>
              <w:right w:val="single" w:sz="4" w:space="0" w:color="auto"/>
            </w:tcBorders>
            <w:shd w:val="clear" w:color="auto" w:fill="DEEAF6"/>
          </w:tcPr>
          <w:p w14:paraId="1E63C199" w14:textId="77777777" w:rsidR="00DA2D01" w:rsidRPr="00C9494D" w:rsidRDefault="00DA2D01" w:rsidP="00944D26">
            <w:pPr>
              <w:overflowPunct/>
              <w:jc w:val="both"/>
              <w:textAlignment w:val="auto"/>
              <w:rPr>
                <w:rFonts w:ascii="Arial" w:hAnsi="Arial" w:cs="Arial"/>
                <w:sz w:val="22"/>
                <w:szCs w:val="22"/>
                <w:lang w:val="es-ES_tradnl" w:eastAsia="nb-NO"/>
              </w:rPr>
            </w:pPr>
          </w:p>
        </w:tc>
      </w:tr>
      <w:tr w:rsidR="00DA2D01" w:rsidRPr="00C9494D" w14:paraId="6B4094D7" w14:textId="77777777" w:rsidTr="00352B7D">
        <w:tc>
          <w:tcPr>
            <w:tcW w:w="8688" w:type="dxa"/>
            <w:tcBorders>
              <w:top w:val="nil"/>
              <w:left w:val="nil"/>
              <w:bottom w:val="nil"/>
              <w:right w:val="nil"/>
            </w:tcBorders>
            <w:shd w:val="clear" w:color="auto" w:fill="auto"/>
          </w:tcPr>
          <w:p w14:paraId="42515023" w14:textId="77777777" w:rsidR="00DA2D01" w:rsidRPr="00C9494D" w:rsidRDefault="00DA2D01" w:rsidP="00944D26">
            <w:pPr>
              <w:pStyle w:val="Indent1"/>
              <w:ind w:left="0" w:firstLine="0"/>
              <w:rPr>
                <w:rFonts w:ascii="Arial" w:hAnsi="Arial" w:cs="Arial"/>
                <w:bCs/>
                <w:sz w:val="22"/>
                <w:szCs w:val="22"/>
                <w:lang w:val="es-ES_tradnl"/>
              </w:rPr>
            </w:pPr>
          </w:p>
        </w:tc>
        <w:tc>
          <w:tcPr>
            <w:tcW w:w="384" w:type="dxa"/>
            <w:tcBorders>
              <w:top w:val="single" w:sz="4" w:space="0" w:color="auto"/>
              <w:left w:val="nil"/>
              <w:bottom w:val="nil"/>
              <w:right w:val="nil"/>
            </w:tcBorders>
            <w:shd w:val="clear" w:color="auto" w:fill="auto"/>
          </w:tcPr>
          <w:p w14:paraId="447C2FBF" w14:textId="77777777" w:rsidR="00DA2D01" w:rsidRPr="00C9494D" w:rsidRDefault="00DA2D01" w:rsidP="00944D26">
            <w:pPr>
              <w:pStyle w:val="Indent1"/>
              <w:ind w:left="0" w:firstLine="0"/>
              <w:rPr>
                <w:rFonts w:ascii="Arial" w:hAnsi="Arial" w:cs="Arial"/>
                <w:bCs/>
                <w:sz w:val="22"/>
                <w:szCs w:val="22"/>
                <w:lang w:val="es-ES_tradnl"/>
              </w:rPr>
            </w:pPr>
          </w:p>
        </w:tc>
      </w:tr>
      <w:tr w:rsidR="00DA2D01" w:rsidRPr="00C9494D" w14:paraId="23162FED" w14:textId="77777777" w:rsidTr="00352B7D">
        <w:tc>
          <w:tcPr>
            <w:tcW w:w="8688" w:type="dxa"/>
            <w:tcBorders>
              <w:top w:val="nil"/>
              <w:left w:val="nil"/>
              <w:bottom w:val="nil"/>
              <w:right w:val="nil"/>
            </w:tcBorders>
            <w:shd w:val="clear" w:color="auto" w:fill="auto"/>
          </w:tcPr>
          <w:p w14:paraId="279AEFDF" w14:textId="2425058A" w:rsidR="00DA2D01" w:rsidRPr="00C9494D" w:rsidRDefault="00DA2D01" w:rsidP="00E40E21">
            <w:pPr>
              <w:numPr>
                <w:ilvl w:val="0"/>
                <w:numId w:val="2"/>
              </w:numPr>
              <w:jc w:val="both"/>
              <w:rPr>
                <w:rFonts w:ascii="Arial" w:hAnsi="Arial" w:cs="Arial"/>
                <w:bCs/>
                <w:sz w:val="22"/>
                <w:szCs w:val="22"/>
                <w:lang w:val="es-ES_tradnl"/>
              </w:rPr>
            </w:pPr>
            <w:r w:rsidRPr="00C9494D">
              <w:rPr>
                <w:rFonts w:ascii="Arial" w:hAnsi="Arial"/>
                <w:bCs/>
                <w:sz w:val="22"/>
                <w:szCs w:val="22"/>
                <w:lang w:val="es-ES_tradnl"/>
              </w:rPr>
              <w:t>Hacer todos los esfuerzos necesarios para lograr, en la medida posible, que las víctimas/sobreviviente de violencia sexual y por motivos de género t</w:t>
            </w:r>
            <w:r w:rsidRPr="00C9494D">
              <w:rPr>
                <w:rFonts w:ascii="Arial" w:hAnsi="Arial"/>
                <w:b/>
                <w:bCs/>
                <w:sz w:val="22"/>
                <w:szCs w:val="22"/>
                <w:lang w:val="es-ES_tradnl"/>
              </w:rPr>
              <w:t>engan acceso sin obstáculos y permanente a una asistencia de salud integral y no discriminatoria</w:t>
            </w:r>
            <w:r w:rsidRPr="00C9494D">
              <w:rPr>
                <w:rFonts w:ascii="Arial" w:hAnsi="Arial"/>
                <w:bCs/>
                <w:sz w:val="22"/>
                <w:szCs w:val="22"/>
                <w:lang w:val="es-ES_tradnl"/>
              </w:rPr>
              <w:t xml:space="preserve">, incluidos servicios de salud sexual y reproductiva, conforme al derecho nacional, rehabilitación física, apoyo psicológico y psicosocial, asistencia jurídica, apoyo socioeconómico y servicios espirituales, según sea necesario, teniendo siempre en cuenta la necesidad de garantizar la dignidad y la seguridad de las víctimas/sobrevivientes, así como la importancia de la confidencialidad y la privacidad, incluidas cuestiones como estigmatización social de las víctimas/sobrevivientes, </w:t>
            </w:r>
            <w:r w:rsidRPr="00C9494D">
              <w:rPr>
                <w:rFonts w:ascii="Arial" w:hAnsi="Arial"/>
                <w:bCs/>
                <w:sz w:val="22"/>
                <w:szCs w:val="22"/>
                <w:u w:val="single"/>
                <w:lang w:val="es-ES_tradnl"/>
              </w:rPr>
              <w:t>especialmente a través de las siguientes actividades</w:t>
            </w:r>
            <w:r w:rsidRPr="00C9494D">
              <w:rPr>
                <w:rFonts w:ascii="Arial" w:hAnsi="Arial"/>
                <w:bCs/>
                <w:sz w:val="22"/>
                <w:szCs w:val="22"/>
                <w:lang w:val="es-ES_tradnl"/>
              </w:rPr>
              <w:t xml:space="preserve">: </w:t>
            </w:r>
          </w:p>
        </w:tc>
        <w:tc>
          <w:tcPr>
            <w:tcW w:w="384" w:type="dxa"/>
            <w:tcBorders>
              <w:top w:val="nil"/>
              <w:left w:val="nil"/>
              <w:bottom w:val="single" w:sz="4" w:space="0" w:color="auto"/>
              <w:right w:val="nil"/>
            </w:tcBorders>
            <w:shd w:val="clear" w:color="auto" w:fill="auto"/>
          </w:tcPr>
          <w:p w14:paraId="7DF109E9" w14:textId="77777777" w:rsidR="00DA2D01" w:rsidRPr="00C9494D" w:rsidRDefault="00DA2D01" w:rsidP="00944D26">
            <w:pPr>
              <w:jc w:val="both"/>
              <w:rPr>
                <w:rFonts w:ascii="Arial" w:hAnsi="Arial" w:cs="Arial"/>
                <w:bCs/>
                <w:sz w:val="22"/>
                <w:szCs w:val="22"/>
                <w:lang w:val="es-ES_tradnl"/>
              </w:rPr>
            </w:pPr>
          </w:p>
        </w:tc>
      </w:tr>
      <w:tr w:rsidR="00DA2D01" w:rsidRPr="00C9494D" w14:paraId="7A25030A" w14:textId="77777777" w:rsidTr="00352B7D">
        <w:tc>
          <w:tcPr>
            <w:tcW w:w="8688" w:type="dxa"/>
            <w:tcBorders>
              <w:top w:val="nil"/>
              <w:left w:val="nil"/>
              <w:bottom w:val="nil"/>
              <w:right w:val="single" w:sz="4" w:space="0" w:color="auto"/>
            </w:tcBorders>
            <w:shd w:val="clear" w:color="auto" w:fill="auto"/>
          </w:tcPr>
          <w:p w14:paraId="25394960" w14:textId="62DFF2C2" w:rsidR="00DA2D01" w:rsidRPr="00C9494D" w:rsidRDefault="00DA2D01" w:rsidP="00E22BAF">
            <w:pPr>
              <w:numPr>
                <w:ilvl w:val="0"/>
                <w:numId w:val="5"/>
              </w:numPr>
              <w:overflowPunct/>
              <w:ind w:left="1058"/>
              <w:jc w:val="both"/>
              <w:textAlignment w:val="auto"/>
              <w:rPr>
                <w:rFonts w:ascii="Arial" w:hAnsi="Arial" w:cs="Arial"/>
                <w:bCs/>
                <w:lang w:val="es-ES_tradnl"/>
              </w:rPr>
            </w:pPr>
            <w:r w:rsidRPr="00C9494D">
              <w:rPr>
                <w:rFonts w:ascii="Arial" w:hAnsi="Arial"/>
                <w:bCs/>
                <w:lang w:val="es-ES_tradnl"/>
              </w:rPr>
              <w:t>tomar medidas concretas para identificar y eliminar los obstáculos que impiden el acceso de las víctimas/sobrevivientes a los servicios en conflictos armados, desastres y otras emergencias [o en situaciones que no son emergencias] [en particular, eliminando el requisito de que los sobrevivientes tengan la obligación de denunciar su caso a la policía para recibir asistencia médica];</w:t>
            </w:r>
          </w:p>
        </w:tc>
        <w:tc>
          <w:tcPr>
            <w:tcW w:w="384" w:type="dxa"/>
            <w:tcBorders>
              <w:top w:val="single" w:sz="4" w:space="0" w:color="auto"/>
              <w:left w:val="single" w:sz="4" w:space="0" w:color="auto"/>
              <w:right w:val="single" w:sz="4" w:space="0" w:color="auto"/>
            </w:tcBorders>
            <w:shd w:val="clear" w:color="auto" w:fill="DEEAF6"/>
          </w:tcPr>
          <w:p w14:paraId="21C0BD25" w14:textId="77777777" w:rsidR="00DA2D01" w:rsidRPr="00C9494D" w:rsidRDefault="00DA2D01" w:rsidP="00944D26">
            <w:pPr>
              <w:overflowPunct/>
              <w:jc w:val="both"/>
              <w:textAlignment w:val="auto"/>
              <w:rPr>
                <w:rFonts w:ascii="Arial" w:hAnsi="Arial" w:cs="Arial"/>
                <w:bCs/>
                <w:sz w:val="22"/>
                <w:szCs w:val="22"/>
                <w:lang w:val="es-ES_tradnl"/>
              </w:rPr>
            </w:pPr>
          </w:p>
        </w:tc>
      </w:tr>
      <w:tr w:rsidR="00DA2D01" w:rsidRPr="00C9494D" w14:paraId="6597A64F" w14:textId="77777777" w:rsidTr="00352B7D">
        <w:tc>
          <w:tcPr>
            <w:tcW w:w="8688" w:type="dxa"/>
            <w:tcBorders>
              <w:top w:val="nil"/>
              <w:left w:val="nil"/>
              <w:bottom w:val="nil"/>
              <w:right w:val="single" w:sz="4" w:space="0" w:color="auto"/>
            </w:tcBorders>
            <w:shd w:val="clear" w:color="auto" w:fill="auto"/>
          </w:tcPr>
          <w:p w14:paraId="0C189E01" w14:textId="7607D0F1" w:rsidR="00DA2D01" w:rsidRPr="00C9494D" w:rsidRDefault="00DA2D01" w:rsidP="00E22BAF">
            <w:pPr>
              <w:numPr>
                <w:ilvl w:val="0"/>
                <w:numId w:val="5"/>
              </w:numPr>
              <w:overflowPunct/>
              <w:ind w:left="1058"/>
              <w:jc w:val="both"/>
              <w:textAlignment w:val="auto"/>
              <w:rPr>
                <w:rFonts w:ascii="Arial" w:hAnsi="Arial" w:cs="Arial"/>
                <w:lang w:val="es-ES_tradnl"/>
              </w:rPr>
            </w:pPr>
            <w:r w:rsidRPr="00C9494D">
              <w:rPr>
                <w:rFonts w:ascii="Arial" w:hAnsi="Arial"/>
                <w:lang w:val="es-ES_tradnl"/>
              </w:rPr>
              <w:t xml:space="preserve">consultar a </w:t>
            </w:r>
            <w:r w:rsidRPr="00C9494D">
              <w:rPr>
                <w:rFonts w:ascii="Arial" w:hAnsi="Arial"/>
                <w:b/>
                <w:lang w:val="es-ES_tradnl"/>
              </w:rPr>
              <w:t>la Sociedad Nacional de la Cruz Roja o de la Media Luna Roja</w:t>
            </w:r>
            <w:r w:rsidRPr="00C9494D">
              <w:rPr>
                <w:rFonts w:ascii="Arial" w:hAnsi="Arial"/>
                <w:lang w:val="es-ES_tradnl"/>
              </w:rPr>
              <w:t xml:space="preserve"> que corresponda, el CICR, en particular los </w:t>
            </w:r>
            <w:r w:rsidRPr="00C9494D">
              <w:rPr>
                <w:rFonts w:ascii="Arial" w:hAnsi="Arial"/>
                <w:b/>
                <w:lang w:val="es-ES_tradnl"/>
              </w:rPr>
              <w:t>encargados de la cuestión de la violencia sexual del CICR</w:t>
            </w:r>
            <w:r w:rsidRPr="00C9494D">
              <w:rPr>
                <w:rFonts w:ascii="Arial" w:hAnsi="Arial"/>
                <w:lang w:val="es-ES_tradnl"/>
              </w:rPr>
              <w:t xml:space="preserve">, y/o la Federación Internacional, en particular los </w:t>
            </w:r>
            <w:r w:rsidRPr="00C9494D">
              <w:rPr>
                <w:rFonts w:ascii="Arial" w:hAnsi="Arial"/>
                <w:b/>
                <w:lang w:val="es-ES_tradnl"/>
              </w:rPr>
              <w:t>delegados o coordinadores de Protección, Género e Inclusión</w:t>
            </w:r>
            <w:r w:rsidRPr="00C9494D">
              <w:rPr>
                <w:rFonts w:ascii="Arial" w:hAnsi="Arial"/>
                <w:lang w:val="es-ES_tradnl"/>
              </w:rPr>
              <w:t xml:space="preserve"> y los </w:t>
            </w:r>
            <w:r w:rsidRPr="00C9494D">
              <w:rPr>
                <w:rFonts w:ascii="Arial" w:hAnsi="Arial"/>
                <w:b/>
                <w:lang w:val="es-ES_tradnl"/>
              </w:rPr>
              <w:t>coordinadores de Emergencias Sanitarias o el departamento de Salud y Asistencia</w:t>
            </w:r>
            <w:r w:rsidR="00AC6C85">
              <w:rPr>
                <w:rFonts w:ascii="Arial" w:hAnsi="Arial"/>
                <w:b/>
                <w:lang w:val="es-ES_tradnl"/>
              </w:rPr>
              <w:t xml:space="preserve"> de la Federación Internacional</w:t>
            </w:r>
            <w:r w:rsidRPr="00C9494D">
              <w:rPr>
                <w:rFonts w:ascii="Arial" w:hAnsi="Arial"/>
                <w:lang w:val="es-ES_tradnl"/>
              </w:rPr>
              <w:t xml:space="preserve">, y otros actores del sector humanitario y del desarrollo, según corresponda, cuando se necesite apoyo técnico para la puesta en práctica de las actividades antes mencionadas. </w:t>
            </w:r>
          </w:p>
        </w:tc>
        <w:tc>
          <w:tcPr>
            <w:tcW w:w="384" w:type="dxa"/>
            <w:tcBorders>
              <w:left w:val="single" w:sz="4" w:space="0" w:color="auto"/>
              <w:bottom w:val="single" w:sz="4" w:space="0" w:color="auto"/>
              <w:right w:val="single" w:sz="4" w:space="0" w:color="auto"/>
            </w:tcBorders>
            <w:shd w:val="clear" w:color="auto" w:fill="DEEAF6"/>
          </w:tcPr>
          <w:p w14:paraId="27724396" w14:textId="77777777" w:rsidR="00DA2D01" w:rsidRPr="00C9494D" w:rsidRDefault="00DA2D01" w:rsidP="00944D26">
            <w:pPr>
              <w:overflowPunct/>
              <w:jc w:val="both"/>
              <w:textAlignment w:val="auto"/>
              <w:rPr>
                <w:rFonts w:ascii="Arial" w:hAnsi="Arial" w:cs="Arial"/>
                <w:bCs/>
                <w:sz w:val="22"/>
                <w:szCs w:val="22"/>
                <w:lang w:val="es-ES_tradnl"/>
              </w:rPr>
            </w:pPr>
          </w:p>
        </w:tc>
      </w:tr>
      <w:tr w:rsidR="00DA2D01" w:rsidRPr="00C9494D" w14:paraId="2613FEAD" w14:textId="77777777" w:rsidTr="00352B7D">
        <w:tc>
          <w:tcPr>
            <w:tcW w:w="8688" w:type="dxa"/>
            <w:tcBorders>
              <w:top w:val="nil"/>
              <w:left w:val="nil"/>
              <w:bottom w:val="nil"/>
              <w:right w:val="nil"/>
            </w:tcBorders>
            <w:shd w:val="clear" w:color="auto" w:fill="auto"/>
          </w:tcPr>
          <w:p w14:paraId="05D41638" w14:textId="77777777" w:rsidR="00DA2D01" w:rsidRPr="00C9494D" w:rsidRDefault="00DA2D01" w:rsidP="00944D26">
            <w:pPr>
              <w:jc w:val="both"/>
              <w:rPr>
                <w:rFonts w:ascii="Arial" w:hAnsi="Arial" w:cs="Arial"/>
                <w:sz w:val="22"/>
                <w:szCs w:val="22"/>
                <w:lang w:val="es-ES_tradnl"/>
              </w:rPr>
            </w:pPr>
          </w:p>
        </w:tc>
        <w:tc>
          <w:tcPr>
            <w:tcW w:w="384" w:type="dxa"/>
            <w:tcBorders>
              <w:top w:val="single" w:sz="4" w:space="0" w:color="auto"/>
              <w:left w:val="nil"/>
              <w:bottom w:val="nil"/>
              <w:right w:val="nil"/>
            </w:tcBorders>
            <w:shd w:val="clear" w:color="auto" w:fill="auto"/>
          </w:tcPr>
          <w:p w14:paraId="34651CF0" w14:textId="77777777" w:rsidR="00DA2D01" w:rsidRPr="00C9494D" w:rsidRDefault="00DA2D01" w:rsidP="00944D26">
            <w:pPr>
              <w:jc w:val="both"/>
              <w:rPr>
                <w:rFonts w:ascii="Arial" w:hAnsi="Arial" w:cs="Arial"/>
                <w:sz w:val="22"/>
                <w:szCs w:val="22"/>
                <w:lang w:val="es-ES_tradnl"/>
              </w:rPr>
            </w:pPr>
          </w:p>
        </w:tc>
      </w:tr>
      <w:tr w:rsidR="00DA2D01" w:rsidRPr="00C9494D" w14:paraId="5B928932" w14:textId="77777777" w:rsidTr="00352B7D">
        <w:tc>
          <w:tcPr>
            <w:tcW w:w="8688" w:type="dxa"/>
            <w:tcBorders>
              <w:top w:val="nil"/>
              <w:left w:val="nil"/>
              <w:bottom w:val="nil"/>
              <w:right w:val="nil"/>
            </w:tcBorders>
            <w:shd w:val="clear" w:color="auto" w:fill="auto"/>
          </w:tcPr>
          <w:p w14:paraId="681E045E" w14:textId="2B555897" w:rsidR="00DA2D01" w:rsidRPr="00C9494D" w:rsidRDefault="00DA2D01" w:rsidP="00E40E21">
            <w:pPr>
              <w:numPr>
                <w:ilvl w:val="0"/>
                <w:numId w:val="2"/>
              </w:numPr>
              <w:jc w:val="both"/>
              <w:rPr>
                <w:rFonts w:ascii="Arial" w:hAnsi="Arial" w:cs="Arial"/>
                <w:bCs/>
                <w:sz w:val="22"/>
                <w:szCs w:val="22"/>
                <w:lang w:val="es-ES_tradnl"/>
              </w:rPr>
            </w:pPr>
            <w:bookmarkStart w:id="2" w:name="_Hlk16586159"/>
            <w:r w:rsidRPr="00C9494D">
              <w:rPr>
                <w:rFonts w:ascii="Arial" w:hAnsi="Arial"/>
                <w:bCs/>
                <w:sz w:val="22"/>
                <w:szCs w:val="22"/>
                <w:lang w:val="es-ES_tradnl"/>
              </w:rPr>
              <w:t xml:space="preserve">Asegurarse de que </w:t>
            </w:r>
            <w:r w:rsidRPr="00C9494D">
              <w:rPr>
                <w:rFonts w:ascii="Arial" w:hAnsi="Arial"/>
                <w:b/>
                <w:bCs/>
                <w:sz w:val="22"/>
                <w:szCs w:val="22"/>
                <w:lang w:val="es-ES_tradnl"/>
              </w:rPr>
              <w:t>los planes y las actividades en materia de gestión de desastres y emergencias</w:t>
            </w:r>
            <w:r w:rsidRPr="00C9494D">
              <w:rPr>
                <w:rFonts w:ascii="Arial" w:hAnsi="Arial"/>
                <w:bCs/>
                <w:sz w:val="22"/>
                <w:szCs w:val="22"/>
                <w:lang w:val="es-ES_tradnl"/>
              </w:rPr>
              <w:t xml:space="preserve"> incluyan medidas para prevenir la violencia sexual y por motivos de género e intervenir ante ella; por ejemplo, ofrecer capacitación específica para el personal que participará en intervenciones en casos de desastre y emergencias, incluida la participación de mujeres en los equipos de intervención en desastres y emergencias, y consultar a miembros de la comunidad, en particular, las mujeres, a la hora de tomar decisiones sobre gestión del riesgo de desastres,</w:t>
            </w:r>
            <w:r w:rsidRPr="00C9494D">
              <w:rPr>
                <w:rFonts w:ascii="Arial" w:hAnsi="Arial"/>
                <w:bCs/>
                <w:sz w:val="22"/>
                <w:szCs w:val="22"/>
                <w:u w:val="single"/>
                <w:lang w:val="es-ES_tradnl"/>
              </w:rPr>
              <w:t xml:space="preserve"> especialmente a través de las actividades siguientes</w:t>
            </w:r>
            <w:r w:rsidRPr="00C9494D">
              <w:rPr>
                <w:rFonts w:ascii="Arial" w:hAnsi="Arial"/>
                <w:bCs/>
                <w:sz w:val="22"/>
                <w:szCs w:val="22"/>
                <w:lang w:val="es-ES_tradnl"/>
              </w:rPr>
              <w:t xml:space="preserve">: </w:t>
            </w:r>
            <w:bookmarkEnd w:id="2"/>
          </w:p>
        </w:tc>
        <w:tc>
          <w:tcPr>
            <w:tcW w:w="384" w:type="dxa"/>
            <w:tcBorders>
              <w:top w:val="nil"/>
              <w:left w:val="nil"/>
              <w:bottom w:val="single" w:sz="4" w:space="0" w:color="auto"/>
              <w:right w:val="nil"/>
            </w:tcBorders>
            <w:shd w:val="clear" w:color="auto" w:fill="auto"/>
          </w:tcPr>
          <w:p w14:paraId="629A7BF6" w14:textId="77777777" w:rsidR="00DA2D01" w:rsidRPr="00C9494D" w:rsidRDefault="00DA2D01" w:rsidP="00944D26">
            <w:pPr>
              <w:jc w:val="both"/>
              <w:rPr>
                <w:rFonts w:ascii="Arial" w:hAnsi="Arial" w:cs="Arial"/>
                <w:bCs/>
                <w:sz w:val="22"/>
                <w:szCs w:val="22"/>
                <w:lang w:val="es-ES_tradnl"/>
              </w:rPr>
            </w:pPr>
          </w:p>
        </w:tc>
      </w:tr>
      <w:tr w:rsidR="005D47E2" w:rsidRPr="00C9494D" w14:paraId="3A81F44A" w14:textId="77777777" w:rsidTr="00352B7D">
        <w:trPr>
          <w:trHeight w:val="698"/>
        </w:trPr>
        <w:tc>
          <w:tcPr>
            <w:tcW w:w="8688" w:type="dxa"/>
            <w:vMerge w:val="restart"/>
            <w:tcBorders>
              <w:top w:val="nil"/>
              <w:left w:val="nil"/>
              <w:right w:val="single" w:sz="4" w:space="0" w:color="auto"/>
            </w:tcBorders>
            <w:shd w:val="clear" w:color="auto" w:fill="auto"/>
          </w:tcPr>
          <w:p w14:paraId="433833DD" w14:textId="7FF4BFF5" w:rsidR="005D47E2" w:rsidRPr="00C9494D" w:rsidRDefault="005D47E2" w:rsidP="00E22BAF">
            <w:pPr>
              <w:numPr>
                <w:ilvl w:val="0"/>
                <w:numId w:val="5"/>
              </w:numPr>
              <w:overflowPunct/>
              <w:ind w:left="1058"/>
              <w:jc w:val="both"/>
              <w:textAlignment w:val="auto"/>
              <w:rPr>
                <w:rFonts w:ascii="Arial" w:hAnsi="Arial" w:cs="Arial"/>
                <w:lang w:val="es-ES_tradnl"/>
              </w:rPr>
            </w:pPr>
            <w:r w:rsidRPr="00C9494D">
              <w:rPr>
                <w:rFonts w:ascii="Arial" w:hAnsi="Arial"/>
                <w:lang w:val="es-ES_tradnl"/>
              </w:rPr>
              <w:t>garantizar el acceso de todas las personas a los servicios en los planes y las actividades relativos a la gestión de desastres y emergencias, y revisar los planes, las actividades y las prácticas que den lugar a discriminación o exclusión, exposición a explotación o que agraven los daños sufridos;</w:t>
            </w:r>
          </w:p>
          <w:p w14:paraId="73FBA10D" w14:textId="77777777" w:rsidR="005D47E2" w:rsidRPr="00C9494D" w:rsidRDefault="005D47E2" w:rsidP="000E25B5">
            <w:pPr>
              <w:numPr>
                <w:ilvl w:val="0"/>
                <w:numId w:val="5"/>
              </w:numPr>
              <w:overflowPunct/>
              <w:ind w:left="1058"/>
              <w:jc w:val="both"/>
              <w:textAlignment w:val="auto"/>
              <w:rPr>
                <w:rFonts w:ascii="Arial" w:hAnsi="Arial" w:cs="Arial"/>
                <w:lang w:val="es-ES_tradnl"/>
              </w:rPr>
            </w:pPr>
            <w:r w:rsidRPr="00C9494D">
              <w:rPr>
                <w:rFonts w:ascii="Arial" w:hAnsi="Arial"/>
                <w:bCs/>
                <w:lang w:val="es-ES_tradnl"/>
              </w:rPr>
              <w:t>propiciar la participación equitativa de las mujeres en los órganos de gobierno del sistema de gestión del riesgo de desastres y en los comités de gestión;</w:t>
            </w:r>
          </w:p>
          <w:p w14:paraId="463A186D" w14:textId="19CAAF6F" w:rsidR="005D47E2" w:rsidRPr="00C9494D" w:rsidRDefault="005D47E2" w:rsidP="000E25B5">
            <w:pPr>
              <w:numPr>
                <w:ilvl w:val="0"/>
                <w:numId w:val="5"/>
              </w:numPr>
              <w:overflowPunct/>
              <w:ind w:left="1058"/>
              <w:jc w:val="both"/>
              <w:textAlignment w:val="auto"/>
              <w:rPr>
                <w:rFonts w:ascii="Arial" w:hAnsi="Arial" w:cs="Arial"/>
                <w:lang w:val="es-ES_tradnl"/>
              </w:rPr>
            </w:pPr>
            <w:r w:rsidRPr="00C9494D">
              <w:rPr>
                <w:rFonts w:ascii="Arial" w:hAnsi="Arial"/>
                <w:lang w:val="es-ES_tradnl"/>
              </w:rPr>
              <w:t xml:space="preserve">trabajar junto con la </w:t>
            </w:r>
            <w:r w:rsidRPr="00C9494D">
              <w:rPr>
                <w:rFonts w:ascii="Arial" w:hAnsi="Arial"/>
                <w:b/>
                <w:lang w:val="es-ES_tradnl"/>
              </w:rPr>
              <w:t>Sociedad Nacional de la Cruz Roja o de la Media Luna Roja</w:t>
            </w:r>
            <w:r w:rsidRPr="00C9494D">
              <w:rPr>
                <w:rFonts w:ascii="Arial" w:hAnsi="Arial"/>
                <w:lang w:val="es-ES_tradnl"/>
              </w:rPr>
              <w:t xml:space="preserve"> que corresponda y con la Federación Internacional, en particular, con los </w:t>
            </w:r>
            <w:r w:rsidRPr="00AC6C85">
              <w:rPr>
                <w:rFonts w:ascii="Arial" w:hAnsi="Arial"/>
                <w:b/>
                <w:lang w:val="es-ES_tradnl"/>
              </w:rPr>
              <w:t>d</w:t>
            </w:r>
            <w:r w:rsidRPr="00C9494D">
              <w:rPr>
                <w:rFonts w:ascii="Arial" w:hAnsi="Arial"/>
                <w:b/>
                <w:lang w:val="es-ES_tradnl"/>
              </w:rPr>
              <w:t>elegados o coordinadores de Protección, Género e Inclusión de la Federación Internacional</w:t>
            </w:r>
            <w:r w:rsidRPr="00C9494D">
              <w:rPr>
                <w:rFonts w:ascii="Arial" w:hAnsi="Arial"/>
                <w:lang w:val="es-ES_tradnl"/>
              </w:rPr>
              <w:t>, para desarrollar y fortalecer la capacidad de las instituciones nacionales para prevenir la violencia sexual y por motivos de género e intervenir ante ella, así como para invertir en capacitación y en fortalecimiento de las competencias locales y de las iniciativas de la comunidad.</w:t>
            </w:r>
          </w:p>
        </w:tc>
        <w:tc>
          <w:tcPr>
            <w:tcW w:w="384" w:type="dxa"/>
            <w:tcBorders>
              <w:top w:val="single" w:sz="4" w:space="0" w:color="auto"/>
              <w:left w:val="single" w:sz="4" w:space="0" w:color="auto"/>
              <w:right w:val="single" w:sz="4" w:space="0" w:color="auto"/>
            </w:tcBorders>
            <w:shd w:val="clear" w:color="auto" w:fill="DEEAF6"/>
          </w:tcPr>
          <w:p w14:paraId="3DC7F154" w14:textId="77777777" w:rsidR="005D47E2" w:rsidRPr="00C9494D" w:rsidRDefault="005D47E2" w:rsidP="00944D26">
            <w:pPr>
              <w:overflowPunct/>
              <w:jc w:val="both"/>
              <w:textAlignment w:val="auto"/>
              <w:rPr>
                <w:rFonts w:ascii="Arial" w:hAnsi="Arial" w:cs="Arial"/>
                <w:bCs/>
                <w:sz w:val="22"/>
                <w:szCs w:val="22"/>
                <w:lang w:val="es-ES_tradnl"/>
              </w:rPr>
            </w:pPr>
          </w:p>
        </w:tc>
      </w:tr>
      <w:tr w:rsidR="005D47E2" w:rsidRPr="00C9494D" w14:paraId="0F955DD9" w14:textId="77777777" w:rsidTr="00352B7D">
        <w:trPr>
          <w:trHeight w:val="488"/>
        </w:trPr>
        <w:tc>
          <w:tcPr>
            <w:tcW w:w="8688" w:type="dxa"/>
            <w:vMerge/>
            <w:tcBorders>
              <w:left w:val="nil"/>
              <w:right w:val="single" w:sz="4" w:space="0" w:color="auto"/>
            </w:tcBorders>
            <w:shd w:val="clear" w:color="auto" w:fill="auto"/>
          </w:tcPr>
          <w:p w14:paraId="26858D61" w14:textId="77777777" w:rsidR="005D47E2" w:rsidRPr="00C9494D" w:rsidRDefault="005D47E2" w:rsidP="00CF0942">
            <w:pPr>
              <w:numPr>
                <w:ilvl w:val="0"/>
                <w:numId w:val="5"/>
              </w:numPr>
              <w:overflowPunct/>
              <w:ind w:left="1058"/>
              <w:jc w:val="both"/>
              <w:textAlignment w:val="auto"/>
              <w:rPr>
                <w:rFonts w:ascii="Arial" w:hAnsi="Arial" w:cs="Arial"/>
                <w:bCs/>
                <w:lang w:val="es-ES_tradnl"/>
              </w:rPr>
            </w:pPr>
          </w:p>
        </w:tc>
        <w:tc>
          <w:tcPr>
            <w:tcW w:w="384" w:type="dxa"/>
            <w:tcBorders>
              <w:top w:val="single" w:sz="4" w:space="0" w:color="auto"/>
              <w:left w:val="single" w:sz="4" w:space="0" w:color="auto"/>
              <w:bottom w:val="single" w:sz="4" w:space="0" w:color="auto"/>
              <w:right w:val="single" w:sz="4" w:space="0" w:color="auto"/>
            </w:tcBorders>
            <w:shd w:val="clear" w:color="auto" w:fill="DEEAF6"/>
          </w:tcPr>
          <w:p w14:paraId="6C8D9B8D" w14:textId="77777777" w:rsidR="005D47E2" w:rsidRPr="00C9494D" w:rsidRDefault="005D47E2" w:rsidP="00944D26">
            <w:pPr>
              <w:overflowPunct/>
              <w:jc w:val="both"/>
              <w:textAlignment w:val="auto"/>
              <w:rPr>
                <w:rFonts w:ascii="Arial" w:hAnsi="Arial" w:cs="Arial"/>
                <w:bCs/>
                <w:sz w:val="22"/>
                <w:szCs w:val="22"/>
                <w:lang w:val="es-ES_tradnl"/>
              </w:rPr>
            </w:pPr>
          </w:p>
        </w:tc>
      </w:tr>
      <w:tr w:rsidR="005D47E2" w:rsidRPr="00C9494D" w14:paraId="07FD049F" w14:textId="77777777" w:rsidTr="00352B7D">
        <w:trPr>
          <w:trHeight w:val="795"/>
        </w:trPr>
        <w:tc>
          <w:tcPr>
            <w:tcW w:w="8688" w:type="dxa"/>
            <w:vMerge/>
            <w:tcBorders>
              <w:left w:val="nil"/>
              <w:bottom w:val="nil"/>
              <w:right w:val="single" w:sz="4" w:space="0" w:color="auto"/>
            </w:tcBorders>
            <w:shd w:val="clear" w:color="auto" w:fill="auto"/>
          </w:tcPr>
          <w:p w14:paraId="0A883F3C" w14:textId="77777777" w:rsidR="005D47E2" w:rsidRPr="00C9494D" w:rsidRDefault="005D47E2" w:rsidP="00CF0942">
            <w:pPr>
              <w:numPr>
                <w:ilvl w:val="0"/>
                <w:numId w:val="5"/>
              </w:numPr>
              <w:overflowPunct/>
              <w:ind w:left="1058"/>
              <w:jc w:val="both"/>
              <w:textAlignment w:val="auto"/>
              <w:rPr>
                <w:rFonts w:ascii="Arial" w:hAnsi="Arial" w:cs="Arial"/>
                <w:bCs/>
                <w:lang w:val="es-ES_tradnl"/>
              </w:rPr>
            </w:pPr>
          </w:p>
        </w:tc>
        <w:tc>
          <w:tcPr>
            <w:tcW w:w="384" w:type="dxa"/>
            <w:tcBorders>
              <w:top w:val="single" w:sz="4" w:space="0" w:color="auto"/>
              <w:left w:val="single" w:sz="4" w:space="0" w:color="auto"/>
              <w:bottom w:val="single" w:sz="4" w:space="0" w:color="auto"/>
              <w:right w:val="single" w:sz="4" w:space="0" w:color="auto"/>
            </w:tcBorders>
            <w:shd w:val="clear" w:color="auto" w:fill="DEEAF6"/>
          </w:tcPr>
          <w:p w14:paraId="27EE9CAB" w14:textId="77777777" w:rsidR="005D47E2" w:rsidRPr="00C9494D" w:rsidRDefault="005D47E2" w:rsidP="00944D26">
            <w:pPr>
              <w:overflowPunct/>
              <w:jc w:val="both"/>
              <w:textAlignment w:val="auto"/>
              <w:rPr>
                <w:rFonts w:ascii="Arial" w:hAnsi="Arial" w:cs="Arial"/>
                <w:bCs/>
                <w:sz w:val="22"/>
                <w:szCs w:val="22"/>
                <w:lang w:val="es-ES_tradnl"/>
              </w:rPr>
            </w:pPr>
          </w:p>
        </w:tc>
      </w:tr>
    </w:tbl>
    <w:p w14:paraId="421DD499" w14:textId="77777777" w:rsidR="00964BD8" w:rsidRPr="00C9494D" w:rsidRDefault="00964BD8" w:rsidP="00165778">
      <w:pPr>
        <w:pStyle w:val="Indent1"/>
        <w:rPr>
          <w:rFonts w:ascii="Arial" w:hAnsi="Arial" w:cs="Arial"/>
          <w:bCs/>
          <w:sz w:val="22"/>
          <w:szCs w:val="22"/>
          <w:lang w:val="es-ES_tradnl"/>
        </w:rPr>
      </w:pPr>
    </w:p>
    <w:p w14:paraId="0D71D53D" w14:textId="77777777" w:rsidR="00314A48" w:rsidRPr="00C9494D" w:rsidRDefault="004D34DE" w:rsidP="00E22BAF">
      <w:pPr>
        <w:pStyle w:val="Indent1"/>
        <w:numPr>
          <w:ilvl w:val="0"/>
          <w:numId w:val="1"/>
        </w:numPr>
        <w:tabs>
          <w:tab w:val="clear" w:pos="396"/>
          <w:tab w:val="clear" w:pos="741"/>
          <w:tab w:val="left" w:pos="0"/>
          <w:tab w:val="left" w:pos="426"/>
          <w:tab w:val="left" w:pos="1418"/>
        </w:tabs>
        <w:ind w:hanging="720"/>
        <w:rPr>
          <w:rFonts w:ascii="Arial" w:hAnsi="Arial" w:cs="Arial"/>
          <w:bCs/>
          <w:i/>
          <w:sz w:val="22"/>
          <w:szCs w:val="22"/>
          <w:lang w:val="es-ES_tradnl"/>
        </w:rPr>
      </w:pPr>
      <w:r w:rsidRPr="00C9494D">
        <w:rPr>
          <w:rFonts w:ascii="Arial" w:hAnsi="Arial"/>
          <w:bCs/>
          <w:i/>
          <w:sz w:val="22"/>
          <w:szCs w:val="22"/>
          <w:lang w:val="es-ES_tradnl"/>
        </w:rPr>
        <w:t>Indicadores para medir los avances</w:t>
      </w:r>
    </w:p>
    <w:p w14:paraId="630E4EF6" w14:textId="77777777" w:rsidR="00B20991" w:rsidRPr="00C9494D" w:rsidRDefault="00B20991" w:rsidP="00435652">
      <w:pPr>
        <w:pStyle w:val="Indent1"/>
        <w:tabs>
          <w:tab w:val="clear" w:pos="396"/>
        </w:tabs>
        <w:ind w:left="0" w:firstLine="0"/>
        <w:rPr>
          <w:rFonts w:ascii="Arial" w:hAnsi="Arial" w:cs="Arial"/>
          <w:i/>
          <w:sz w:val="22"/>
          <w:szCs w:val="22"/>
          <w:lang w:val="es-ES_tradnl"/>
        </w:rPr>
      </w:pPr>
    </w:p>
    <w:p w14:paraId="36F83059" w14:textId="79B2C80F" w:rsidR="00483FA4" w:rsidRPr="00C9494D" w:rsidRDefault="00B20991" w:rsidP="00E22BAF">
      <w:pPr>
        <w:pStyle w:val="Indent1"/>
        <w:numPr>
          <w:ilvl w:val="0"/>
          <w:numId w:val="6"/>
        </w:numPr>
        <w:tabs>
          <w:tab w:val="clear" w:pos="396"/>
        </w:tabs>
        <w:rPr>
          <w:rFonts w:ascii="Arial" w:hAnsi="Arial" w:cs="Arial"/>
          <w:sz w:val="22"/>
          <w:szCs w:val="22"/>
          <w:lang w:val="es-ES_tradnl"/>
        </w:rPr>
      </w:pPr>
      <w:r w:rsidRPr="00C9494D">
        <w:rPr>
          <w:rFonts w:ascii="Arial" w:hAnsi="Arial"/>
          <w:sz w:val="22"/>
          <w:szCs w:val="22"/>
          <w:lang w:val="es-ES_tradnl"/>
        </w:rPr>
        <w:t>Número de disposiciones jurídicas internas, políticas o procedimientos introducidos o modificados en relación con la violencia sexual o por motivos de género.</w:t>
      </w:r>
    </w:p>
    <w:p w14:paraId="7D11AE30" w14:textId="302ECD9B" w:rsidR="001F6397" w:rsidRPr="00C9494D" w:rsidRDefault="001F6397" w:rsidP="00E22BAF">
      <w:pPr>
        <w:pStyle w:val="Indent1"/>
        <w:numPr>
          <w:ilvl w:val="0"/>
          <w:numId w:val="6"/>
        </w:numPr>
        <w:tabs>
          <w:tab w:val="clear" w:pos="396"/>
        </w:tabs>
        <w:rPr>
          <w:rFonts w:ascii="Arial" w:hAnsi="Arial" w:cs="Arial"/>
          <w:sz w:val="22"/>
          <w:szCs w:val="22"/>
          <w:lang w:val="es-ES_tradnl"/>
        </w:rPr>
      </w:pPr>
      <w:r w:rsidRPr="00C9494D">
        <w:rPr>
          <w:rFonts w:ascii="Arial" w:hAnsi="Arial"/>
          <w:sz w:val="22"/>
          <w:szCs w:val="22"/>
          <w:lang w:val="es-ES_tradnl"/>
        </w:rPr>
        <w:t>Número de planes de contingencia elaborados o modificados cuyo objetivo sea garantizar la continuidad de la prevención de la violencia sexual y por motivos de género y la intervención ante ella en situaciones de desastre.</w:t>
      </w:r>
    </w:p>
    <w:p w14:paraId="2A546ADD" w14:textId="77777777" w:rsidR="0054662F" w:rsidRPr="00C9494D" w:rsidRDefault="0054662F" w:rsidP="00E22BAF">
      <w:pPr>
        <w:numPr>
          <w:ilvl w:val="0"/>
          <w:numId w:val="6"/>
        </w:numPr>
        <w:rPr>
          <w:rFonts w:ascii="Arial" w:hAnsi="Arial" w:cs="Arial"/>
          <w:sz w:val="22"/>
          <w:szCs w:val="22"/>
          <w:lang w:val="es-ES_tradnl"/>
        </w:rPr>
      </w:pPr>
      <w:r w:rsidRPr="00C9494D">
        <w:rPr>
          <w:rFonts w:ascii="Arial" w:hAnsi="Arial"/>
          <w:sz w:val="22"/>
          <w:szCs w:val="22"/>
          <w:lang w:val="es-ES_tradnl"/>
        </w:rPr>
        <w:t>Número de capacitaciones iniciadas o mejoradas sobre violencia sexual y por motivos de género destinadas a legisladores, fiscales o personal judicial.</w:t>
      </w:r>
    </w:p>
    <w:p w14:paraId="03946AD8" w14:textId="5F8B0F13" w:rsidR="000C54F1" w:rsidRPr="00C9494D" w:rsidRDefault="00B20991" w:rsidP="00E22BAF">
      <w:pPr>
        <w:pStyle w:val="Indent1"/>
        <w:numPr>
          <w:ilvl w:val="0"/>
          <w:numId w:val="6"/>
        </w:numPr>
        <w:tabs>
          <w:tab w:val="clear" w:pos="396"/>
        </w:tabs>
        <w:rPr>
          <w:rFonts w:ascii="Arial" w:hAnsi="Arial" w:cs="Arial"/>
          <w:sz w:val="22"/>
          <w:szCs w:val="22"/>
          <w:lang w:val="es-ES_tradnl"/>
        </w:rPr>
      </w:pPr>
      <w:r w:rsidRPr="00C9494D">
        <w:rPr>
          <w:rFonts w:ascii="Arial" w:hAnsi="Arial"/>
          <w:sz w:val="22"/>
          <w:szCs w:val="22"/>
          <w:lang w:val="es-ES_tradnl"/>
        </w:rPr>
        <w:lastRenderedPageBreak/>
        <w:t>Número de mejoras en la integración de la cuestión de la violencia sexual en programas de instrucción y/o en códigos de conducta destinados a las fuerzas armadas y de seguridad y a las autoridades detenedoras.</w:t>
      </w:r>
    </w:p>
    <w:p w14:paraId="6FD389AD" w14:textId="77777777" w:rsidR="000C54F1" w:rsidRPr="00C9494D" w:rsidRDefault="000C54F1" w:rsidP="00E22BAF">
      <w:pPr>
        <w:pStyle w:val="Indent1"/>
        <w:numPr>
          <w:ilvl w:val="0"/>
          <w:numId w:val="6"/>
        </w:numPr>
        <w:tabs>
          <w:tab w:val="clear" w:pos="396"/>
        </w:tabs>
        <w:rPr>
          <w:rFonts w:ascii="Arial" w:hAnsi="Arial" w:cs="Arial"/>
          <w:sz w:val="22"/>
          <w:szCs w:val="22"/>
          <w:lang w:val="es-ES_tradnl"/>
        </w:rPr>
      </w:pPr>
      <w:r w:rsidRPr="00C9494D">
        <w:rPr>
          <w:rFonts w:ascii="Arial" w:hAnsi="Arial"/>
          <w:sz w:val="22"/>
          <w:szCs w:val="22"/>
          <w:lang w:val="es-ES_tradnl"/>
        </w:rPr>
        <w:t xml:space="preserve">Número de reuniones de expertos de las fuerzas armadas y de seguridad y/o de las autoridades detenedoras organizadas. </w:t>
      </w:r>
    </w:p>
    <w:p w14:paraId="6F0CB4EF" w14:textId="2F86162F" w:rsidR="001F6397" w:rsidRPr="00C9494D" w:rsidRDefault="00457749" w:rsidP="00B440DF">
      <w:pPr>
        <w:pStyle w:val="Indent1"/>
        <w:numPr>
          <w:ilvl w:val="0"/>
          <w:numId w:val="6"/>
        </w:numPr>
        <w:tabs>
          <w:tab w:val="clear" w:pos="396"/>
        </w:tabs>
        <w:rPr>
          <w:rFonts w:ascii="Arial" w:hAnsi="Arial" w:cs="Arial"/>
          <w:sz w:val="22"/>
          <w:szCs w:val="22"/>
          <w:lang w:val="es-ES_tradnl"/>
        </w:rPr>
      </w:pPr>
      <w:r w:rsidRPr="00C9494D">
        <w:rPr>
          <w:rFonts w:ascii="Arial" w:hAnsi="Arial"/>
          <w:sz w:val="22"/>
          <w:szCs w:val="22"/>
          <w:lang w:val="es-ES_tradnl"/>
        </w:rPr>
        <w:t xml:space="preserve">Número de obstáculos eliminados para que las víctimas/sobrevivientes accedan a los servicios </w:t>
      </w:r>
      <w:r w:rsidR="008332DD" w:rsidRPr="008332DD">
        <w:rPr>
          <w:rFonts w:ascii="Arial" w:hAnsi="Arial"/>
          <w:sz w:val="22"/>
          <w:szCs w:val="22"/>
          <w:lang w:val="es-ES_tradnl"/>
        </w:rPr>
        <w:t>[incluido el número de casos en que se ha eliminado el requisito de presentar obligatoriamente una denuncia ante la policía para que los sobrevivientes puedan acceder a la atención médica</w:t>
      </w:r>
      <w:r w:rsidRPr="00C9494D">
        <w:rPr>
          <w:rFonts w:ascii="Arial" w:hAnsi="Arial"/>
          <w:sz w:val="22"/>
          <w:szCs w:val="22"/>
          <w:lang w:val="es-ES_tradnl"/>
        </w:rPr>
        <w:t>].</w:t>
      </w:r>
    </w:p>
    <w:p w14:paraId="5586236B" w14:textId="53E7FCD0" w:rsidR="00F224E5" w:rsidRPr="00C9494D" w:rsidRDefault="00322598" w:rsidP="00E22BAF">
      <w:pPr>
        <w:pStyle w:val="Indent1"/>
        <w:numPr>
          <w:ilvl w:val="0"/>
          <w:numId w:val="6"/>
        </w:numPr>
        <w:tabs>
          <w:tab w:val="clear" w:pos="396"/>
        </w:tabs>
        <w:rPr>
          <w:rFonts w:ascii="Arial" w:hAnsi="Arial" w:cs="Arial"/>
          <w:i/>
          <w:iCs/>
          <w:sz w:val="22"/>
          <w:szCs w:val="22"/>
          <w:lang w:val="es-ES_tradnl"/>
        </w:rPr>
      </w:pPr>
      <w:r w:rsidRPr="00C9494D">
        <w:rPr>
          <w:rFonts w:ascii="Arial" w:hAnsi="Arial"/>
          <w:sz w:val="22"/>
          <w:szCs w:val="22"/>
          <w:lang w:val="es-ES_tradnl"/>
        </w:rPr>
        <w:t>Número de planes y actividades de gestión de desastres y emergencias elaborados o modificados para garantizar el acceso de todas las personas a los servicios.</w:t>
      </w:r>
    </w:p>
    <w:p w14:paraId="16099D9C" w14:textId="77777777" w:rsidR="00315772" w:rsidRPr="00C9494D" w:rsidRDefault="00E816ED" w:rsidP="00E22BAF">
      <w:pPr>
        <w:pStyle w:val="Indent1"/>
        <w:numPr>
          <w:ilvl w:val="0"/>
          <w:numId w:val="6"/>
        </w:numPr>
        <w:tabs>
          <w:tab w:val="clear" w:pos="396"/>
        </w:tabs>
        <w:rPr>
          <w:rFonts w:ascii="Arial" w:hAnsi="Arial" w:cs="Arial"/>
          <w:iCs/>
          <w:sz w:val="22"/>
          <w:szCs w:val="22"/>
          <w:lang w:val="es-ES_tradnl"/>
        </w:rPr>
      </w:pPr>
      <w:r w:rsidRPr="00C9494D">
        <w:rPr>
          <w:rFonts w:ascii="Arial" w:hAnsi="Arial"/>
          <w:iCs/>
          <w:sz w:val="22"/>
          <w:szCs w:val="22"/>
          <w:lang w:val="es-ES_tradnl"/>
        </w:rPr>
        <w:t>Porcentaje de participación femenina en los órganos de gobierno del sistema de gestión del riesgo de desastres y en los comités de gestión.</w:t>
      </w:r>
    </w:p>
    <w:p w14:paraId="28F5B6B3" w14:textId="77777777" w:rsidR="002A7CC9" w:rsidRPr="00C9494D" w:rsidRDefault="002A7CC9" w:rsidP="002A7CC9">
      <w:pPr>
        <w:pStyle w:val="Indent1"/>
        <w:tabs>
          <w:tab w:val="clear" w:pos="396"/>
        </w:tabs>
        <w:rPr>
          <w:rFonts w:ascii="Arial" w:hAnsi="Arial" w:cs="Arial"/>
          <w:iCs/>
          <w:sz w:val="22"/>
          <w:szCs w:val="22"/>
          <w:lang w:val="es-ES_tradnl"/>
        </w:rPr>
      </w:pPr>
    </w:p>
    <w:p w14:paraId="756EC578" w14:textId="77777777" w:rsidR="004303DA" w:rsidRPr="00C9494D" w:rsidRDefault="004303DA" w:rsidP="00E22BAF">
      <w:pPr>
        <w:pStyle w:val="Indent1"/>
        <w:numPr>
          <w:ilvl w:val="0"/>
          <w:numId w:val="1"/>
        </w:numPr>
        <w:tabs>
          <w:tab w:val="clear" w:pos="396"/>
          <w:tab w:val="clear" w:pos="741"/>
          <w:tab w:val="left" w:pos="0"/>
          <w:tab w:val="left" w:pos="426"/>
          <w:tab w:val="left" w:pos="1418"/>
        </w:tabs>
        <w:ind w:hanging="720"/>
        <w:rPr>
          <w:rFonts w:ascii="Arial" w:hAnsi="Arial" w:cs="Arial"/>
          <w:bCs/>
          <w:i/>
          <w:sz w:val="22"/>
          <w:szCs w:val="22"/>
          <w:lang w:val="es-ES_tradnl"/>
        </w:rPr>
      </w:pPr>
      <w:bookmarkStart w:id="3" w:name="_Hlk5634916"/>
      <w:r w:rsidRPr="00C9494D">
        <w:rPr>
          <w:rFonts w:ascii="Arial" w:hAnsi="Arial"/>
          <w:bCs/>
          <w:i/>
          <w:sz w:val="22"/>
          <w:szCs w:val="22"/>
          <w:lang w:val="es-ES_tradnl"/>
        </w:rPr>
        <w:t>Recursos necesarios</w:t>
      </w:r>
    </w:p>
    <w:bookmarkEnd w:id="3"/>
    <w:p w14:paraId="359A81A2" w14:textId="77777777" w:rsidR="00A575F5" w:rsidRPr="00C9494D" w:rsidRDefault="00A575F5" w:rsidP="00435652">
      <w:pPr>
        <w:pStyle w:val="Indent1"/>
        <w:ind w:left="0" w:firstLine="0"/>
        <w:rPr>
          <w:rFonts w:ascii="Arial" w:hAnsi="Arial" w:cs="Arial"/>
          <w:sz w:val="22"/>
          <w:szCs w:val="22"/>
          <w:lang w:val="es-ES_tradnl"/>
        </w:rPr>
      </w:pPr>
    </w:p>
    <w:p w14:paraId="036BF334" w14:textId="77777777" w:rsidR="00B23F78" w:rsidRPr="00C9494D" w:rsidRDefault="00B23F78" w:rsidP="00E22BAF">
      <w:pPr>
        <w:pStyle w:val="Indent1"/>
        <w:numPr>
          <w:ilvl w:val="0"/>
          <w:numId w:val="3"/>
        </w:numPr>
        <w:tabs>
          <w:tab w:val="clear" w:pos="396"/>
        </w:tabs>
        <w:rPr>
          <w:rFonts w:ascii="Arial" w:hAnsi="Arial" w:cs="Arial"/>
          <w:sz w:val="22"/>
          <w:szCs w:val="22"/>
          <w:lang w:val="es-ES_tradnl"/>
        </w:rPr>
      </w:pPr>
      <w:r w:rsidRPr="00C9494D">
        <w:rPr>
          <w:rFonts w:ascii="Arial" w:hAnsi="Arial"/>
          <w:sz w:val="22"/>
          <w:szCs w:val="22"/>
          <w:lang w:val="es-ES_tradnl"/>
        </w:rPr>
        <w:t>Recursos para la revisión legislativa necesarios para la acción 1.</w:t>
      </w:r>
    </w:p>
    <w:p w14:paraId="5F5DD314" w14:textId="77777777" w:rsidR="00B23F78" w:rsidRPr="00C9494D" w:rsidRDefault="00B23F78" w:rsidP="00E22BAF">
      <w:pPr>
        <w:pStyle w:val="Indent1"/>
        <w:numPr>
          <w:ilvl w:val="0"/>
          <w:numId w:val="3"/>
        </w:numPr>
        <w:tabs>
          <w:tab w:val="clear" w:pos="396"/>
        </w:tabs>
        <w:rPr>
          <w:rFonts w:ascii="Arial" w:hAnsi="Arial" w:cs="Arial"/>
          <w:sz w:val="22"/>
          <w:szCs w:val="22"/>
          <w:lang w:val="es-ES_tradnl"/>
        </w:rPr>
      </w:pPr>
      <w:r w:rsidRPr="00C9494D">
        <w:rPr>
          <w:rFonts w:ascii="Arial" w:hAnsi="Arial"/>
          <w:sz w:val="22"/>
          <w:szCs w:val="22"/>
          <w:lang w:val="es-ES_tradnl"/>
        </w:rPr>
        <w:t>Recursos de capacitación para miembros de las fuerzas militares y de seguridad y para las autoridades detenedoras necesarios para la acción 2.</w:t>
      </w:r>
    </w:p>
    <w:p w14:paraId="2D778128" w14:textId="77777777" w:rsidR="00D848C0" w:rsidRPr="00C9494D" w:rsidRDefault="00D848C0" w:rsidP="00E22BAF">
      <w:pPr>
        <w:pStyle w:val="Indent1"/>
        <w:numPr>
          <w:ilvl w:val="0"/>
          <w:numId w:val="3"/>
        </w:numPr>
        <w:tabs>
          <w:tab w:val="clear" w:pos="396"/>
        </w:tabs>
        <w:rPr>
          <w:rFonts w:ascii="Arial" w:hAnsi="Arial" w:cs="Arial"/>
          <w:sz w:val="22"/>
          <w:szCs w:val="22"/>
          <w:lang w:val="es-ES_tradnl"/>
        </w:rPr>
      </w:pPr>
      <w:r w:rsidRPr="00C9494D">
        <w:rPr>
          <w:rFonts w:ascii="Arial" w:hAnsi="Arial"/>
          <w:sz w:val="22"/>
          <w:szCs w:val="22"/>
          <w:lang w:val="es-ES_tradnl"/>
        </w:rPr>
        <w:t xml:space="preserve">Recursos para la revisión de leyes, reglamentos y procedimientos necesarios para la acción 3. </w:t>
      </w:r>
    </w:p>
    <w:p w14:paraId="653ADB8A" w14:textId="65552E6A" w:rsidR="00707D73" w:rsidRPr="00C9494D" w:rsidRDefault="0082688B" w:rsidP="003669D5">
      <w:pPr>
        <w:pStyle w:val="Indent1"/>
        <w:numPr>
          <w:ilvl w:val="0"/>
          <w:numId w:val="3"/>
        </w:numPr>
        <w:rPr>
          <w:rFonts w:ascii="Arial" w:hAnsi="Arial" w:cs="Arial"/>
          <w:sz w:val="22"/>
          <w:szCs w:val="22"/>
          <w:lang w:val="es-ES_tradnl"/>
        </w:rPr>
      </w:pPr>
      <w:r w:rsidRPr="00C9494D">
        <w:rPr>
          <w:rFonts w:ascii="Arial" w:hAnsi="Arial"/>
          <w:sz w:val="22"/>
          <w:szCs w:val="22"/>
          <w:lang w:val="es-ES_tradnl"/>
        </w:rPr>
        <w:t>Recursos para la revisión de reglamentos y procedimientos y recursos para capacitación necesarios para la acción 4.</w:t>
      </w:r>
    </w:p>
    <w:p w14:paraId="1E0536F8" w14:textId="77777777" w:rsidR="00A575F5" w:rsidRPr="00C9494D" w:rsidRDefault="00A575F5" w:rsidP="00435652">
      <w:pPr>
        <w:pStyle w:val="Indent1"/>
        <w:ind w:left="0" w:firstLine="0"/>
        <w:rPr>
          <w:rFonts w:ascii="Arial" w:hAnsi="Arial" w:cs="Arial"/>
          <w:sz w:val="22"/>
          <w:szCs w:val="22"/>
          <w:lang w:val="es-ES_tradnl"/>
        </w:rPr>
      </w:pPr>
    </w:p>
    <w:p w14:paraId="491A88E8" w14:textId="64E20784" w:rsidR="009C0D65" w:rsidRPr="00C9494D" w:rsidRDefault="00A279A7" w:rsidP="00435652">
      <w:pPr>
        <w:pStyle w:val="Indent1"/>
        <w:ind w:left="0" w:firstLine="0"/>
        <w:rPr>
          <w:rFonts w:ascii="Arial" w:hAnsi="Arial" w:cs="Arial"/>
          <w:sz w:val="22"/>
          <w:szCs w:val="22"/>
          <w:lang w:val="es-ES_tradnl"/>
        </w:rPr>
      </w:pPr>
      <w:r w:rsidRPr="00C9494D">
        <w:rPr>
          <w:rFonts w:ascii="Arial" w:hAnsi="Arial"/>
          <w:sz w:val="22"/>
          <w:szCs w:val="22"/>
          <w:lang w:val="es-ES_tradnl"/>
        </w:rPr>
        <w:t>Estado/Sociedad Nacional: ____________________________________________</w:t>
      </w:r>
    </w:p>
    <w:p w14:paraId="1A030AB2" w14:textId="77777777" w:rsidR="00AF7A8D" w:rsidRPr="00C9494D" w:rsidRDefault="00AF7A8D" w:rsidP="00435652">
      <w:pPr>
        <w:pStyle w:val="Indent1"/>
        <w:ind w:left="0" w:firstLine="0"/>
        <w:rPr>
          <w:rFonts w:ascii="Arial" w:hAnsi="Arial" w:cs="Arial"/>
          <w:sz w:val="22"/>
          <w:szCs w:val="22"/>
          <w:lang w:val="es-ES_tradnl"/>
        </w:rPr>
      </w:pPr>
    </w:p>
    <w:p w14:paraId="01BDFD0C" w14:textId="77777777" w:rsidR="009C0D65" w:rsidRPr="00C9494D" w:rsidRDefault="009C0D65" w:rsidP="00C9494D">
      <w:pPr>
        <w:pStyle w:val="Indent1"/>
        <w:ind w:left="0" w:firstLine="0"/>
        <w:jc w:val="left"/>
        <w:rPr>
          <w:rFonts w:ascii="Arial" w:hAnsi="Arial" w:cs="Arial"/>
          <w:sz w:val="22"/>
          <w:szCs w:val="22"/>
          <w:lang w:val="es-ES_tradnl"/>
        </w:rPr>
      </w:pPr>
      <w:r w:rsidRPr="00C9494D">
        <w:rPr>
          <w:rFonts w:ascii="Arial" w:hAnsi="Arial"/>
          <w:sz w:val="22"/>
          <w:szCs w:val="22"/>
          <w:lang w:val="es-ES_tradnl"/>
        </w:rPr>
        <w:t>Nombre del departamento y de la persona de contacto: _____________________________________</w:t>
      </w:r>
    </w:p>
    <w:p w14:paraId="70A1798B" w14:textId="77777777" w:rsidR="00AF7A8D" w:rsidRPr="00C9494D" w:rsidRDefault="00AF7A8D" w:rsidP="00435652">
      <w:pPr>
        <w:pStyle w:val="Indent1"/>
        <w:ind w:left="0" w:firstLine="0"/>
        <w:rPr>
          <w:rFonts w:ascii="Arial" w:hAnsi="Arial" w:cs="Arial"/>
          <w:sz w:val="22"/>
          <w:szCs w:val="22"/>
          <w:lang w:val="es-ES_tradnl"/>
        </w:rPr>
      </w:pPr>
    </w:p>
    <w:p w14:paraId="7DC0AE93" w14:textId="1499425F" w:rsidR="0095469E" w:rsidRPr="00C9494D" w:rsidRDefault="009C0D65" w:rsidP="00C9494D">
      <w:pPr>
        <w:pStyle w:val="Indent1"/>
        <w:ind w:left="0" w:firstLine="0"/>
        <w:jc w:val="left"/>
        <w:rPr>
          <w:rFonts w:ascii="Arial" w:hAnsi="Arial" w:cs="Arial"/>
          <w:sz w:val="22"/>
          <w:szCs w:val="22"/>
          <w:lang w:val="es-ES_tradnl"/>
        </w:rPr>
      </w:pPr>
      <w:r w:rsidRPr="00C9494D">
        <w:rPr>
          <w:rFonts w:ascii="Arial" w:hAnsi="Arial"/>
          <w:sz w:val="22"/>
          <w:szCs w:val="22"/>
          <w:lang w:val="es-ES_tradnl"/>
        </w:rPr>
        <w:t>Dirección de correo electrónico y número de interno: ____________________________________________</w:t>
      </w:r>
    </w:p>
    <w:p w14:paraId="518B87B1" w14:textId="77777777" w:rsidR="00B74D3F" w:rsidRPr="00C9494D" w:rsidRDefault="00B74D3F" w:rsidP="00435652">
      <w:pPr>
        <w:pStyle w:val="Indent1"/>
        <w:ind w:left="0" w:firstLine="0"/>
        <w:rPr>
          <w:rFonts w:ascii="Arial" w:hAnsi="Arial" w:cs="Arial"/>
          <w:sz w:val="22"/>
          <w:szCs w:val="22"/>
          <w:lang w:val="es-ES_tradnl"/>
        </w:rPr>
      </w:pPr>
    </w:p>
    <w:p w14:paraId="03AAC6C5" w14:textId="77777777" w:rsidR="00C9494D" w:rsidRDefault="00B74D3F" w:rsidP="00C9494D">
      <w:pPr>
        <w:pStyle w:val="Indent1"/>
        <w:rPr>
          <w:rFonts w:ascii="Arial" w:hAnsi="Arial"/>
          <w:sz w:val="22"/>
          <w:szCs w:val="22"/>
          <w:lang w:val="es-ES_tradnl"/>
        </w:rPr>
      </w:pPr>
      <w:r w:rsidRPr="00C9494D">
        <w:rPr>
          <w:rFonts w:ascii="Arial" w:hAnsi="Arial"/>
          <w:sz w:val="22"/>
          <w:szCs w:val="22"/>
          <w:lang w:val="es-ES_tradnl"/>
        </w:rPr>
        <w:t xml:space="preserve">Promesa tipo propuesta por: </w:t>
      </w:r>
    </w:p>
    <w:p w14:paraId="20F4F4EC" w14:textId="451ECCDE" w:rsidR="00CF6022" w:rsidRDefault="00B74D3F" w:rsidP="00C9494D">
      <w:pPr>
        <w:pStyle w:val="Indent1"/>
        <w:rPr>
          <w:rFonts w:ascii="Arial" w:hAnsi="Arial"/>
          <w:sz w:val="22"/>
          <w:szCs w:val="22"/>
          <w:lang w:val="es-ES_tradnl"/>
        </w:rPr>
      </w:pPr>
      <w:r w:rsidRPr="00C9494D">
        <w:rPr>
          <w:rFonts w:ascii="Arial" w:hAnsi="Arial"/>
          <w:sz w:val="22"/>
          <w:szCs w:val="22"/>
          <w:lang w:val="es-ES_tradnl"/>
        </w:rPr>
        <w:t>CICR (persona de referencia: Vanessa Murphy,</w:t>
      </w:r>
      <w:r w:rsidR="00C9494D">
        <w:rPr>
          <w:rFonts w:ascii="Arial" w:hAnsi="Arial"/>
          <w:sz w:val="22"/>
          <w:szCs w:val="22"/>
          <w:lang w:val="es-ES_tradnl"/>
        </w:rPr>
        <w:t xml:space="preserve"> </w:t>
      </w:r>
      <w:r w:rsidRPr="00C9494D">
        <w:rPr>
          <w:rFonts w:ascii="Arial" w:hAnsi="Arial"/>
          <w:sz w:val="22"/>
          <w:szCs w:val="22"/>
          <w:lang w:val="es-ES_tradnl"/>
        </w:rPr>
        <w:t>vmurphy@icrc.org), y</w:t>
      </w:r>
    </w:p>
    <w:p w14:paraId="5693E484" w14:textId="689981DD" w:rsidR="00A279A7" w:rsidRPr="00C9494D" w:rsidRDefault="00CF6022" w:rsidP="00435652">
      <w:pPr>
        <w:pStyle w:val="Indent1"/>
        <w:ind w:left="0" w:firstLine="0"/>
        <w:rPr>
          <w:rFonts w:ascii="Arial" w:hAnsi="Arial" w:cs="Arial"/>
          <w:sz w:val="22"/>
          <w:szCs w:val="22"/>
          <w:lang w:val="es-ES_tradnl"/>
        </w:rPr>
      </w:pPr>
      <w:r w:rsidRPr="00C9494D">
        <w:rPr>
          <w:rFonts w:ascii="Arial" w:hAnsi="Arial"/>
          <w:sz w:val="22"/>
          <w:szCs w:val="22"/>
          <w:lang w:val="es-ES_tradnl"/>
        </w:rPr>
        <w:t xml:space="preserve">Federación Internacional (persona de referencia: Lisa </w:t>
      </w:r>
      <w:proofErr w:type="spellStart"/>
      <w:r w:rsidRPr="00C9494D">
        <w:rPr>
          <w:rFonts w:ascii="Arial" w:hAnsi="Arial"/>
          <w:sz w:val="22"/>
          <w:szCs w:val="22"/>
          <w:lang w:val="es-ES_tradnl"/>
        </w:rPr>
        <w:t>Akero</w:t>
      </w:r>
      <w:proofErr w:type="spellEnd"/>
      <w:r w:rsidRPr="00C9494D">
        <w:rPr>
          <w:rFonts w:ascii="Arial" w:hAnsi="Arial"/>
          <w:sz w:val="22"/>
          <w:szCs w:val="22"/>
          <w:lang w:val="es-ES_tradnl"/>
        </w:rPr>
        <w:t xml:space="preserve">, lisa.akero@ifrc.org). </w:t>
      </w:r>
    </w:p>
    <w:sectPr w:rsidR="00A279A7" w:rsidRPr="00C9494D" w:rsidSect="00BB5F2C">
      <w:headerReference w:type="even" r:id="rId15"/>
      <w:headerReference w:type="default" r:id="rId16"/>
      <w:footerReference w:type="even" r:id="rId17"/>
      <w:footerReference w:type="default" r:id="rId18"/>
      <w:type w:val="continuous"/>
      <w:pgSz w:w="11908" w:h="16838"/>
      <w:pgMar w:top="1021" w:right="1418" w:bottom="1077" w:left="1418" w:header="680"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94CDA" w14:textId="77777777" w:rsidR="00BC6CEC" w:rsidRDefault="00BC6CEC">
      <w:r>
        <w:separator/>
      </w:r>
    </w:p>
  </w:endnote>
  <w:endnote w:type="continuationSeparator" w:id="0">
    <w:p w14:paraId="37008B6F" w14:textId="77777777" w:rsidR="00BC6CEC" w:rsidRDefault="00BC6CEC">
      <w:r>
        <w:continuationSeparator/>
      </w:r>
    </w:p>
  </w:endnote>
  <w:endnote w:type="continuationNotice" w:id="1">
    <w:p w14:paraId="1F99734E" w14:textId="77777777" w:rsidR="00BC6CEC" w:rsidRDefault="00BC6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72CA" w14:textId="77777777" w:rsidR="00404354" w:rsidRDefault="00404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C8554" w14:textId="77777777" w:rsidR="00404354" w:rsidRDefault="004043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DD50" w14:textId="77777777" w:rsidR="00404354" w:rsidRDefault="004043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E322A" w14:textId="77777777" w:rsidR="00BC6CEC" w:rsidRDefault="00BC6CEC">
      <w:r>
        <w:separator/>
      </w:r>
    </w:p>
  </w:footnote>
  <w:footnote w:type="continuationSeparator" w:id="0">
    <w:p w14:paraId="719020A6" w14:textId="77777777" w:rsidR="00BC6CEC" w:rsidRDefault="00BC6CEC">
      <w:r>
        <w:continuationSeparator/>
      </w:r>
    </w:p>
  </w:footnote>
  <w:footnote w:type="continuationNotice" w:id="1">
    <w:p w14:paraId="08A3F049" w14:textId="77777777" w:rsidR="00BC6CEC" w:rsidRDefault="00BC6C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348A" w14:textId="77777777" w:rsidR="00404354" w:rsidRDefault="00404354" w:rsidP="006265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1D65AD" w14:textId="77777777" w:rsidR="00404354" w:rsidRDefault="00404354" w:rsidP="00844B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69B7" w14:textId="77777777" w:rsidR="00404354" w:rsidRDefault="00404354" w:rsidP="005C41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2C77">
      <w:rPr>
        <w:rStyle w:val="PageNumber"/>
      </w:rPr>
      <w:t>2</w:t>
    </w:r>
    <w:r>
      <w:rPr>
        <w:rStyle w:val="PageNumber"/>
      </w:rPr>
      <w:fldChar w:fldCharType="end"/>
    </w:r>
  </w:p>
  <w:p w14:paraId="13514E2D" w14:textId="77777777" w:rsidR="00404354" w:rsidRDefault="00404354" w:rsidP="00844B3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5DD"/>
    <w:multiLevelType w:val="hybridMultilevel"/>
    <w:tmpl w:val="C61A5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44301"/>
    <w:multiLevelType w:val="hybridMultilevel"/>
    <w:tmpl w:val="73D2B4C6"/>
    <w:lvl w:ilvl="0" w:tplc="1424F256">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D42495"/>
    <w:multiLevelType w:val="hybridMultilevel"/>
    <w:tmpl w:val="80664822"/>
    <w:lvl w:ilvl="0" w:tplc="ECB8DC72">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5231963"/>
    <w:multiLevelType w:val="hybridMultilevel"/>
    <w:tmpl w:val="8564C28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BC04A8"/>
    <w:multiLevelType w:val="hybridMultilevel"/>
    <w:tmpl w:val="6ACEFAE0"/>
    <w:lvl w:ilvl="0" w:tplc="07EA1120">
      <w:start w:val="1"/>
      <w:numFmt w:val="decimal"/>
      <w:lvlText w:val="%1."/>
      <w:lvlJc w:val="left"/>
      <w:pPr>
        <w:ind w:left="720" w:hanging="360"/>
      </w:pPr>
      <w:rPr>
        <w:i w:val="0"/>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2B5790B"/>
    <w:multiLevelType w:val="hybridMultilevel"/>
    <w:tmpl w:val="60AAC8C6"/>
    <w:lvl w:ilvl="0" w:tplc="69A41B5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A64EE"/>
    <w:multiLevelType w:val="hybridMultilevel"/>
    <w:tmpl w:val="6FC42802"/>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89"/>
    <w:rsid w:val="000027DD"/>
    <w:rsid w:val="00005A53"/>
    <w:rsid w:val="000074D8"/>
    <w:rsid w:val="0000773A"/>
    <w:rsid w:val="00007B1A"/>
    <w:rsid w:val="000119C2"/>
    <w:rsid w:val="00017C85"/>
    <w:rsid w:val="00021373"/>
    <w:rsid w:val="000235C8"/>
    <w:rsid w:val="00023764"/>
    <w:rsid w:val="00024594"/>
    <w:rsid w:val="00025090"/>
    <w:rsid w:val="000250C7"/>
    <w:rsid w:val="00025DA6"/>
    <w:rsid w:val="000325C0"/>
    <w:rsid w:val="000334AE"/>
    <w:rsid w:val="00037119"/>
    <w:rsid w:val="000374B7"/>
    <w:rsid w:val="00042D3E"/>
    <w:rsid w:val="00042F67"/>
    <w:rsid w:val="00044E63"/>
    <w:rsid w:val="0005785D"/>
    <w:rsid w:val="00062387"/>
    <w:rsid w:val="0006498D"/>
    <w:rsid w:val="00065A99"/>
    <w:rsid w:val="00071313"/>
    <w:rsid w:val="00073629"/>
    <w:rsid w:val="00074D2D"/>
    <w:rsid w:val="000773A9"/>
    <w:rsid w:val="0008082E"/>
    <w:rsid w:val="00086811"/>
    <w:rsid w:val="00092C2D"/>
    <w:rsid w:val="00095742"/>
    <w:rsid w:val="000A31A4"/>
    <w:rsid w:val="000A5C99"/>
    <w:rsid w:val="000B435C"/>
    <w:rsid w:val="000B4C1F"/>
    <w:rsid w:val="000B5A30"/>
    <w:rsid w:val="000B644D"/>
    <w:rsid w:val="000B6539"/>
    <w:rsid w:val="000B6C90"/>
    <w:rsid w:val="000C0E9B"/>
    <w:rsid w:val="000C23BA"/>
    <w:rsid w:val="000C54F1"/>
    <w:rsid w:val="000C6D30"/>
    <w:rsid w:val="000D42CF"/>
    <w:rsid w:val="000D62B4"/>
    <w:rsid w:val="000E25B5"/>
    <w:rsid w:val="000E39CB"/>
    <w:rsid w:val="000E78FA"/>
    <w:rsid w:val="000F6B23"/>
    <w:rsid w:val="000F719C"/>
    <w:rsid w:val="0010158E"/>
    <w:rsid w:val="00102281"/>
    <w:rsid w:val="00106ACD"/>
    <w:rsid w:val="001105BF"/>
    <w:rsid w:val="00113C2A"/>
    <w:rsid w:val="00113C69"/>
    <w:rsid w:val="00113FC9"/>
    <w:rsid w:val="00116478"/>
    <w:rsid w:val="00116967"/>
    <w:rsid w:val="001176A6"/>
    <w:rsid w:val="001203CF"/>
    <w:rsid w:val="00121463"/>
    <w:rsid w:val="001217C0"/>
    <w:rsid w:val="00122B99"/>
    <w:rsid w:val="00123C44"/>
    <w:rsid w:val="0012414A"/>
    <w:rsid w:val="00124697"/>
    <w:rsid w:val="00124ED0"/>
    <w:rsid w:val="00126A74"/>
    <w:rsid w:val="0013000E"/>
    <w:rsid w:val="00130246"/>
    <w:rsid w:val="001309DE"/>
    <w:rsid w:val="00136CEE"/>
    <w:rsid w:val="00137B46"/>
    <w:rsid w:val="0014489A"/>
    <w:rsid w:val="00152AF0"/>
    <w:rsid w:val="001545FA"/>
    <w:rsid w:val="001556C1"/>
    <w:rsid w:val="00160FB4"/>
    <w:rsid w:val="001634B4"/>
    <w:rsid w:val="001646E6"/>
    <w:rsid w:val="001648C4"/>
    <w:rsid w:val="00165778"/>
    <w:rsid w:val="00173256"/>
    <w:rsid w:val="0017798E"/>
    <w:rsid w:val="001779D2"/>
    <w:rsid w:val="001808C2"/>
    <w:rsid w:val="001812FE"/>
    <w:rsid w:val="00181B3B"/>
    <w:rsid w:val="0019146F"/>
    <w:rsid w:val="00191B2D"/>
    <w:rsid w:val="0019783F"/>
    <w:rsid w:val="001A64EE"/>
    <w:rsid w:val="001B1A29"/>
    <w:rsid w:val="001C018D"/>
    <w:rsid w:val="001C1766"/>
    <w:rsid w:val="001C5CF0"/>
    <w:rsid w:val="001C714F"/>
    <w:rsid w:val="001D117C"/>
    <w:rsid w:val="001D1C77"/>
    <w:rsid w:val="001D3B20"/>
    <w:rsid w:val="001D6710"/>
    <w:rsid w:val="001D6F7B"/>
    <w:rsid w:val="001E06A2"/>
    <w:rsid w:val="001E31A0"/>
    <w:rsid w:val="001E3A7B"/>
    <w:rsid w:val="001E3EE4"/>
    <w:rsid w:val="001E65E6"/>
    <w:rsid w:val="001F12FA"/>
    <w:rsid w:val="001F365A"/>
    <w:rsid w:val="001F4B2B"/>
    <w:rsid w:val="001F4D71"/>
    <w:rsid w:val="001F602A"/>
    <w:rsid w:val="001F6397"/>
    <w:rsid w:val="00201B73"/>
    <w:rsid w:val="00201F24"/>
    <w:rsid w:val="00203E3D"/>
    <w:rsid w:val="0021104F"/>
    <w:rsid w:val="00213029"/>
    <w:rsid w:val="002146B4"/>
    <w:rsid w:val="00215765"/>
    <w:rsid w:val="00216D4B"/>
    <w:rsid w:val="00217979"/>
    <w:rsid w:val="00220720"/>
    <w:rsid w:val="00222E02"/>
    <w:rsid w:val="002310BB"/>
    <w:rsid w:val="00235D26"/>
    <w:rsid w:val="0024085E"/>
    <w:rsid w:val="00241C49"/>
    <w:rsid w:val="00242182"/>
    <w:rsid w:val="00242611"/>
    <w:rsid w:val="00243044"/>
    <w:rsid w:val="002543F2"/>
    <w:rsid w:val="00260612"/>
    <w:rsid w:val="002608AD"/>
    <w:rsid w:val="00261657"/>
    <w:rsid w:val="00261CE0"/>
    <w:rsid w:val="002638A9"/>
    <w:rsid w:val="00263BA3"/>
    <w:rsid w:val="00266ACE"/>
    <w:rsid w:val="002670EE"/>
    <w:rsid w:val="00271FA3"/>
    <w:rsid w:val="0027285D"/>
    <w:rsid w:val="00275A1A"/>
    <w:rsid w:val="002764A0"/>
    <w:rsid w:val="00284A16"/>
    <w:rsid w:val="00286E94"/>
    <w:rsid w:val="00293759"/>
    <w:rsid w:val="00293B95"/>
    <w:rsid w:val="00295278"/>
    <w:rsid w:val="0029700B"/>
    <w:rsid w:val="002A0282"/>
    <w:rsid w:val="002A1A33"/>
    <w:rsid w:val="002A30F0"/>
    <w:rsid w:val="002A3AED"/>
    <w:rsid w:val="002A7CC9"/>
    <w:rsid w:val="002B0196"/>
    <w:rsid w:val="002B09CF"/>
    <w:rsid w:val="002B34B4"/>
    <w:rsid w:val="002B5123"/>
    <w:rsid w:val="002B7AAB"/>
    <w:rsid w:val="002C1A4B"/>
    <w:rsid w:val="002C25D4"/>
    <w:rsid w:val="002C3004"/>
    <w:rsid w:val="002C3BAA"/>
    <w:rsid w:val="002C617F"/>
    <w:rsid w:val="002C6DAF"/>
    <w:rsid w:val="002D68D5"/>
    <w:rsid w:val="002D7179"/>
    <w:rsid w:val="002E1036"/>
    <w:rsid w:val="002E2644"/>
    <w:rsid w:val="002E6E0B"/>
    <w:rsid w:val="002F0588"/>
    <w:rsid w:val="002F0A09"/>
    <w:rsid w:val="002F2097"/>
    <w:rsid w:val="002F5EA7"/>
    <w:rsid w:val="002F7ABA"/>
    <w:rsid w:val="00301D26"/>
    <w:rsid w:val="00303F8C"/>
    <w:rsid w:val="003123B7"/>
    <w:rsid w:val="0031492D"/>
    <w:rsid w:val="00314A48"/>
    <w:rsid w:val="00314C85"/>
    <w:rsid w:val="003151FB"/>
    <w:rsid w:val="00315772"/>
    <w:rsid w:val="00315EF7"/>
    <w:rsid w:val="003214C1"/>
    <w:rsid w:val="003222A1"/>
    <w:rsid w:val="00322598"/>
    <w:rsid w:val="0033652A"/>
    <w:rsid w:val="00340D92"/>
    <w:rsid w:val="00341395"/>
    <w:rsid w:val="00342778"/>
    <w:rsid w:val="00343562"/>
    <w:rsid w:val="0034446C"/>
    <w:rsid w:val="00345C82"/>
    <w:rsid w:val="00350C3D"/>
    <w:rsid w:val="003514BC"/>
    <w:rsid w:val="00352B7D"/>
    <w:rsid w:val="00352E1C"/>
    <w:rsid w:val="003530CA"/>
    <w:rsid w:val="0035372A"/>
    <w:rsid w:val="00353EC3"/>
    <w:rsid w:val="003554E9"/>
    <w:rsid w:val="0035690D"/>
    <w:rsid w:val="00361F87"/>
    <w:rsid w:val="003645BF"/>
    <w:rsid w:val="003669D5"/>
    <w:rsid w:val="0037067A"/>
    <w:rsid w:val="00371FC0"/>
    <w:rsid w:val="003771D7"/>
    <w:rsid w:val="003846FF"/>
    <w:rsid w:val="00392D5C"/>
    <w:rsid w:val="0039369B"/>
    <w:rsid w:val="003963C3"/>
    <w:rsid w:val="00397F56"/>
    <w:rsid w:val="003A1A3F"/>
    <w:rsid w:val="003A59CD"/>
    <w:rsid w:val="003A7560"/>
    <w:rsid w:val="003B185C"/>
    <w:rsid w:val="003B1E93"/>
    <w:rsid w:val="003B2434"/>
    <w:rsid w:val="003B2C6A"/>
    <w:rsid w:val="003B364C"/>
    <w:rsid w:val="003B495A"/>
    <w:rsid w:val="003B4CFB"/>
    <w:rsid w:val="003C09BF"/>
    <w:rsid w:val="003C0E14"/>
    <w:rsid w:val="003C0E2D"/>
    <w:rsid w:val="003C1412"/>
    <w:rsid w:val="003C187A"/>
    <w:rsid w:val="003C23A9"/>
    <w:rsid w:val="003C27E0"/>
    <w:rsid w:val="003C4AA9"/>
    <w:rsid w:val="003D0617"/>
    <w:rsid w:val="003D0936"/>
    <w:rsid w:val="003D735F"/>
    <w:rsid w:val="003D77AC"/>
    <w:rsid w:val="003E0607"/>
    <w:rsid w:val="003E4A3D"/>
    <w:rsid w:val="003E70B4"/>
    <w:rsid w:val="003F318A"/>
    <w:rsid w:val="003F4823"/>
    <w:rsid w:val="003F57AC"/>
    <w:rsid w:val="00400A42"/>
    <w:rsid w:val="00404354"/>
    <w:rsid w:val="004053C6"/>
    <w:rsid w:val="004062C2"/>
    <w:rsid w:val="00411D05"/>
    <w:rsid w:val="00412372"/>
    <w:rsid w:val="00412E54"/>
    <w:rsid w:val="00416EA8"/>
    <w:rsid w:val="00424A31"/>
    <w:rsid w:val="00424C3F"/>
    <w:rsid w:val="004268CF"/>
    <w:rsid w:val="004303DA"/>
    <w:rsid w:val="00431417"/>
    <w:rsid w:val="00435652"/>
    <w:rsid w:val="00437BAE"/>
    <w:rsid w:val="0044070B"/>
    <w:rsid w:val="0044292B"/>
    <w:rsid w:val="00445855"/>
    <w:rsid w:val="00451E7D"/>
    <w:rsid w:val="00452373"/>
    <w:rsid w:val="00456819"/>
    <w:rsid w:val="00457749"/>
    <w:rsid w:val="0047194B"/>
    <w:rsid w:val="00471EE1"/>
    <w:rsid w:val="004778E5"/>
    <w:rsid w:val="004824EC"/>
    <w:rsid w:val="00483FA4"/>
    <w:rsid w:val="00485250"/>
    <w:rsid w:val="004852CD"/>
    <w:rsid w:val="004920B4"/>
    <w:rsid w:val="004958AF"/>
    <w:rsid w:val="00496EEE"/>
    <w:rsid w:val="004975CF"/>
    <w:rsid w:val="004A0874"/>
    <w:rsid w:val="004A2135"/>
    <w:rsid w:val="004A5E2D"/>
    <w:rsid w:val="004A6E3D"/>
    <w:rsid w:val="004B120F"/>
    <w:rsid w:val="004B4857"/>
    <w:rsid w:val="004B59C9"/>
    <w:rsid w:val="004C1880"/>
    <w:rsid w:val="004C2E64"/>
    <w:rsid w:val="004C3562"/>
    <w:rsid w:val="004C4C49"/>
    <w:rsid w:val="004C63D4"/>
    <w:rsid w:val="004C78CA"/>
    <w:rsid w:val="004D34DE"/>
    <w:rsid w:val="004D5347"/>
    <w:rsid w:val="004D58D0"/>
    <w:rsid w:val="004E0830"/>
    <w:rsid w:val="004E49C2"/>
    <w:rsid w:val="004E64F7"/>
    <w:rsid w:val="004F1BEC"/>
    <w:rsid w:val="004F6624"/>
    <w:rsid w:val="004F7C9C"/>
    <w:rsid w:val="005002B3"/>
    <w:rsid w:val="00500D76"/>
    <w:rsid w:val="00503828"/>
    <w:rsid w:val="0050664F"/>
    <w:rsid w:val="00506AFC"/>
    <w:rsid w:val="005078E0"/>
    <w:rsid w:val="00510E39"/>
    <w:rsid w:val="00513BBB"/>
    <w:rsid w:val="00515723"/>
    <w:rsid w:val="00520A3A"/>
    <w:rsid w:val="00520A84"/>
    <w:rsid w:val="00526497"/>
    <w:rsid w:val="00526867"/>
    <w:rsid w:val="00530C8C"/>
    <w:rsid w:val="00535219"/>
    <w:rsid w:val="00535605"/>
    <w:rsid w:val="005366B0"/>
    <w:rsid w:val="00536A12"/>
    <w:rsid w:val="00543754"/>
    <w:rsid w:val="0054590B"/>
    <w:rsid w:val="0054662F"/>
    <w:rsid w:val="0055073C"/>
    <w:rsid w:val="0055354B"/>
    <w:rsid w:val="0055496F"/>
    <w:rsid w:val="00555AEE"/>
    <w:rsid w:val="0055620E"/>
    <w:rsid w:val="005563FB"/>
    <w:rsid w:val="00556C5C"/>
    <w:rsid w:val="00574D65"/>
    <w:rsid w:val="00577C6D"/>
    <w:rsid w:val="00580258"/>
    <w:rsid w:val="00584D4F"/>
    <w:rsid w:val="00587FB9"/>
    <w:rsid w:val="00593970"/>
    <w:rsid w:val="00596B79"/>
    <w:rsid w:val="00596F05"/>
    <w:rsid w:val="00597975"/>
    <w:rsid w:val="00597E59"/>
    <w:rsid w:val="005A0EF6"/>
    <w:rsid w:val="005A746A"/>
    <w:rsid w:val="005B3180"/>
    <w:rsid w:val="005B7E69"/>
    <w:rsid w:val="005C0FFD"/>
    <w:rsid w:val="005C1E65"/>
    <w:rsid w:val="005C4193"/>
    <w:rsid w:val="005C4634"/>
    <w:rsid w:val="005C480A"/>
    <w:rsid w:val="005C663C"/>
    <w:rsid w:val="005D1AB6"/>
    <w:rsid w:val="005D2E0A"/>
    <w:rsid w:val="005D47E2"/>
    <w:rsid w:val="005D4988"/>
    <w:rsid w:val="005D4C13"/>
    <w:rsid w:val="005D598B"/>
    <w:rsid w:val="005D6CED"/>
    <w:rsid w:val="005E291A"/>
    <w:rsid w:val="005E6A0E"/>
    <w:rsid w:val="005E7996"/>
    <w:rsid w:val="005F0537"/>
    <w:rsid w:val="005F13E3"/>
    <w:rsid w:val="005F2C23"/>
    <w:rsid w:val="005F30C2"/>
    <w:rsid w:val="0060118B"/>
    <w:rsid w:val="006014AE"/>
    <w:rsid w:val="006054BF"/>
    <w:rsid w:val="00606032"/>
    <w:rsid w:val="00607206"/>
    <w:rsid w:val="00613FF9"/>
    <w:rsid w:val="00615497"/>
    <w:rsid w:val="00616083"/>
    <w:rsid w:val="00616604"/>
    <w:rsid w:val="0061749A"/>
    <w:rsid w:val="00622394"/>
    <w:rsid w:val="00622E87"/>
    <w:rsid w:val="00624477"/>
    <w:rsid w:val="00626534"/>
    <w:rsid w:val="006311BC"/>
    <w:rsid w:val="0063236E"/>
    <w:rsid w:val="0063342E"/>
    <w:rsid w:val="00634F20"/>
    <w:rsid w:val="006353DC"/>
    <w:rsid w:val="00635B33"/>
    <w:rsid w:val="00641CA9"/>
    <w:rsid w:val="006424F5"/>
    <w:rsid w:val="00642739"/>
    <w:rsid w:val="00651073"/>
    <w:rsid w:val="0065270D"/>
    <w:rsid w:val="00652AB8"/>
    <w:rsid w:val="00654022"/>
    <w:rsid w:val="006615F1"/>
    <w:rsid w:val="00665A1E"/>
    <w:rsid w:val="00666562"/>
    <w:rsid w:val="00666AE3"/>
    <w:rsid w:val="0066744C"/>
    <w:rsid w:val="00667AC9"/>
    <w:rsid w:val="006710F0"/>
    <w:rsid w:val="00680132"/>
    <w:rsid w:val="00683DB2"/>
    <w:rsid w:val="0068592E"/>
    <w:rsid w:val="00686130"/>
    <w:rsid w:val="00687D3F"/>
    <w:rsid w:val="00690513"/>
    <w:rsid w:val="00690DD7"/>
    <w:rsid w:val="00694281"/>
    <w:rsid w:val="0069516C"/>
    <w:rsid w:val="006A071E"/>
    <w:rsid w:val="006A149E"/>
    <w:rsid w:val="006A3FA7"/>
    <w:rsid w:val="006A521F"/>
    <w:rsid w:val="006B1DC2"/>
    <w:rsid w:val="006D1302"/>
    <w:rsid w:val="006D3ACB"/>
    <w:rsid w:val="006E2393"/>
    <w:rsid w:val="006E248B"/>
    <w:rsid w:val="006E5138"/>
    <w:rsid w:val="006E66E0"/>
    <w:rsid w:val="006F0155"/>
    <w:rsid w:val="006F02A4"/>
    <w:rsid w:val="00704A4D"/>
    <w:rsid w:val="00705E98"/>
    <w:rsid w:val="00707D73"/>
    <w:rsid w:val="00711D02"/>
    <w:rsid w:val="00713D20"/>
    <w:rsid w:val="00714567"/>
    <w:rsid w:val="007179DC"/>
    <w:rsid w:val="00723604"/>
    <w:rsid w:val="0072480E"/>
    <w:rsid w:val="007250DA"/>
    <w:rsid w:val="00727DDE"/>
    <w:rsid w:val="007348ED"/>
    <w:rsid w:val="00741FAA"/>
    <w:rsid w:val="007525EE"/>
    <w:rsid w:val="00753B9D"/>
    <w:rsid w:val="0075492E"/>
    <w:rsid w:val="0075661B"/>
    <w:rsid w:val="00763D59"/>
    <w:rsid w:val="00764AB9"/>
    <w:rsid w:val="00770F28"/>
    <w:rsid w:val="00771D2E"/>
    <w:rsid w:val="0077207F"/>
    <w:rsid w:val="007740BE"/>
    <w:rsid w:val="00774169"/>
    <w:rsid w:val="007753AC"/>
    <w:rsid w:val="00781851"/>
    <w:rsid w:val="0078599D"/>
    <w:rsid w:val="007869B7"/>
    <w:rsid w:val="00792718"/>
    <w:rsid w:val="007971B7"/>
    <w:rsid w:val="007A76E5"/>
    <w:rsid w:val="007A7D8C"/>
    <w:rsid w:val="007B3533"/>
    <w:rsid w:val="007C306A"/>
    <w:rsid w:val="007C7180"/>
    <w:rsid w:val="007D67B7"/>
    <w:rsid w:val="007E189A"/>
    <w:rsid w:val="007E1919"/>
    <w:rsid w:val="007E2AA3"/>
    <w:rsid w:val="007E483F"/>
    <w:rsid w:val="007F1FCF"/>
    <w:rsid w:val="007F4FE9"/>
    <w:rsid w:val="008009EA"/>
    <w:rsid w:val="00801016"/>
    <w:rsid w:val="00801286"/>
    <w:rsid w:val="00805163"/>
    <w:rsid w:val="00806A1F"/>
    <w:rsid w:val="00806B0C"/>
    <w:rsid w:val="00806C25"/>
    <w:rsid w:val="008115CD"/>
    <w:rsid w:val="00815C55"/>
    <w:rsid w:val="008166B5"/>
    <w:rsid w:val="00821660"/>
    <w:rsid w:val="00825CD7"/>
    <w:rsid w:val="0082688B"/>
    <w:rsid w:val="00826CC0"/>
    <w:rsid w:val="00832F5D"/>
    <w:rsid w:val="008332DD"/>
    <w:rsid w:val="00842CCA"/>
    <w:rsid w:val="00844B3E"/>
    <w:rsid w:val="00845889"/>
    <w:rsid w:val="00845E9B"/>
    <w:rsid w:val="00845EFB"/>
    <w:rsid w:val="00846C74"/>
    <w:rsid w:val="008471CD"/>
    <w:rsid w:val="008473B8"/>
    <w:rsid w:val="00847529"/>
    <w:rsid w:val="00854201"/>
    <w:rsid w:val="00855D8C"/>
    <w:rsid w:val="00856C59"/>
    <w:rsid w:val="00860CB5"/>
    <w:rsid w:val="0086127B"/>
    <w:rsid w:val="00863209"/>
    <w:rsid w:val="0086380E"/>
    <w:rsid w:val="00876218"/>
    <w:rsid w:val="0087690C"/>
    <w:rsid w:val="00877677"/>
    <w:rsid w:val="008806E5"/>
    <w:rsid w:val="00881BFF"/>
    <w:rsid w:val="00883583"/>
    <w:rsid w:val="008906FA"/>
    <w:rsid w:val="0089079C"/>
    <w:rsid w:val="00891CEF"/>
    <w:rsid w:val="00892475"/>
    <w:rsid w:val="00893218"/>
    <w:rsid w:val="008942EA"/>
    <w:rsid w:val="00894573"/>
    <w:rsid w:val="00894B57"/>
    <w:rsid w:val="008A0D49"/>
    <w:rsid w:val="008A6800"/>
    <w:rsid w:val="008B0474"/>
    <w:rsid w:val="008B087B"/>
    <w:rsid w:val="008B1502"/>
    <w:rsid w:val="008B22BE"/>
    <w:rsid w:val="008B3D26"/>
    <w:rsid w:val="008B58BA"/>
    <w:rsid w:val="008C051C"/>
    <w:rsid w:val="008C553D"/>
    <w:rsid w:val="008C5843"/>
    <w:rsid w:val="008C661A"/>
    <w:rsid w:val="008C6EC8"/>
    <w:rsid w:val="008D4401"/>
    <w:rsid w:val="008D47DE"/>
    <w:rsid w:val="008D5CCD"/>
    <w:rsid w:val="008E3423"/>
    <w:rsid w:val="008E3F65"/>
    <w:rsid w:val="008E3F73"/>
    <w:rsid w:val="008E74B8"/>
    <w:rsid w:val="008E76DC"/>
    <w:rsid w:val="008F167A"/>
    <w:rsid w:val="008F35CE"/>
    <w:rsid w:val="00900BC5"/>
    <w:rsid w:val="009039A0"/>
    <w:rsid w:val="00903E82"/>
    <w:rsid w:val="0090495F"/>
    <w:rsid w:val="00905F00"/>
    <w:rsid w:val="009070FE"/>
    <w:rsid w:val="00912238"/>
    <w:rsid w:val="009149DF"/>
    <w:rsid w:val="009234E6"/>
    <w:rsid w:val="00923AFB"/>
    <w:rsid w:val="00924A58"/>
    <w:rsid w:val="009322FD"/>
    <w:rsid w:val="00932CBE"/>
    <w:rsid w:val="00932FB6"/>
    <w:rsid w:val="00935A19"/>
    <w:rsid w:val="00936B1B"/>
    <w:rsid w:val="009420BC"/>
    <w:rsid w:val="00942174"/>
    <w:rsid w:val="00944D26"/>
    <w:rsid w:val="00945AAE"/>
    <w:rsid w:val="009466A8"/>
    <w:rsid w:val="0095248C"/>
    <w:rsid w:val="00952EDB"/>
    <w:rsid w:val="009540F2"/>
    <w:rsid w:val="0095469E"/>
    <w:rsid w:val="00954885"/>
    <w:rsid w:val="00954E1A"/>
    <w:rsid w:val="00954EB4"/>
    <w:rsid w:val="009563B0"/>
    <w:rsid w:val="00960F3E"/>
    <w:rsid w:val="009610AC"/>
    <w:rsid w:val="0096285C"/>
    <w:rsid w:val="00962988"/>
    <w:rsid w:val="009632C8"/>
    <w:rsid w:val="00964BD8"/>
    <w:rsid w:val="00965BFB"/>
    <w:rsid w:val="00973B5B"/>
    <w:rsid w:val="009768C1"/>
    <w:rsid w:val="009778A1"/>
    <w:rsid w:val="0098277F"/>
    <w:rsid w:val="009828B3"/>
    <w:rsid w:val="009836A4"/>
    <w:rsid w:val="009860F4"/>
    <w:rsid w:val="009925E4"/>
    <w:rsid w:val="00995774"/>
    <w:rsid w:val="00996980"/>
    <w:rsid w:val="00997B30"/>
    <w:rsid w:val="009A1D03"/>
    <w:rsid w:val="009A377C"/>
    <w:rsid w:val="009A4854"/>
    <w:rsid w:val="009A5769"/>
    <w:rsid w:val="009B6D89"/>
    <w:rsid w:val="009B76D8"/>
    <w:rsid w:val="009C0D65"/>
    <w:rsid w:val="009C1755"/>
    <w:rsid w:val="009C4BAA"/>
    <w:rsid w:val="009C5618"/>
    <w:rsid w:val="009D2CBE"/>
    <w:rsid w:val="009D50B7"/>
    <w:rsid w:val="009D6A10"/>
    <w:rsid w:val="009E288D"/>
    <w:rsid w:val="009E2D07"/>
    <w:rsid w:val="009F08A4"/>
    <w:rsid w:val="009F3012"/>
    <w:rsid w:val="009F708B"/>
    <w:rsid w:val="00A10801"/>
    <w:rsid w:val="00A1687F"/>
    <w:rsid w:val="00A17DEF"/>
    <w:rsid w:val="00A25AB7"/>
    <w:rsid w:val="00A279A7"/>
    <w:rsid w:val="00A27F4A"/>
    <w:rsid w:val="00A3314B"/>
    <w:rsid w:val="00A42B6D"/>
    <w:rsid w:val="00A4635E"/>
    <w:rsid w:val="00A575F5"/>
    <w:rsid w:val="00A624A8"/>
    <w:rsid w:val="00A62D9A"/>
    <w:rsid w:val="00A7473F"/>
    <w:rsid w:val="00A77BE2"/>
    <w:rsid w:val="00A81683"/>
    <w:rsid w:val="00A926CA"/>
    <w:rsid w:val="00A95384"/>
    <w:rsid w:val="00A96066"/>
    <w:rsid w:val="00A96E67"/>
    <w:rsid w:val="00AA260E"/>
    <w:rsid w:val="00AA7496"/>
    <w:rsid w:val="00AA7B8D"/>
    <w:rsid w:val="00AC1D87"/>
    <w:rsid w:val="00AC2C9F"/>
    <w:rsid w:val="00AC41BB"/>
    <w:rsid w:val="00AC6C85"/>
    <w:rsid w:val="00AD5F81"/>
    <w:rsid w:val="00AD678D"/>
    <w:rsid w:val="00AE02FE"/>
    <w:rsid w:val="00AE4DFF"/>
    <w:rsid w:val="00AF5712"/>
    <w:rsid w:val="00AF6B72"/>
    <w:rsid w:val="00AF7A8D"/>
    <w:rsid w:val="00B00713"/>
    <w:rsid w:val="00B06BA5"/>
    <w:rsid w:val="00B073F3"/>
    <w:rsid w:val="00B14420"/>
    <w:rsid w:val="00B20294"/>
    <w:rsid w:val="00B20991"/>
    <w:rsid w:val="00B20FE0"/>
    <w:rsid w:val="00B23F78"/>
    <w:rsid w:val="00B25E51"/>
    <w:rsid w:val="00B31C18"/>
    <w:rsid w:val="00B31DE5"/>
    <w:rsid w:val="00B33B9A"/>
    <w:rsid w:val="00B36BAF"/>
    <w:rsid w:val="00B43E6C"/>
    <w:rsid w:val="00B440DF"/>
    <w:rsid w:val="00B44664"/>
    <w:rsid w:val="00B50FED"/>
    <w:rsid w:val="00B51465"/>
    <w:rsid w:val="00B56000"/>
    <w:rsid w:val="00B5735A"/>
    <w:rsid w:val="00B5741B"/>
    <w:rsid w:val="00B57925"/>
    <w:rsid w:val="00B63A2C"/>
    <w:rsid w:val="00B708B2"/>
    <w:rsid w:val="00B71B55"/>
    <w:rsid w:val="00B71DFE"/>
    <w:rsid w:val="00B74D3F"/>
    <w:rsid w:val="00B76689"/>
    <w:rsid w:val="00B839A6"/>
    <w:rsid w:val="00B87B77"/>
    <w:rsid w:val="00B95FBE"/>
    <w:rsid w:val="00B972BA"/>
    <w:rsid w:val="00BA07F0"/>
    <w:rsid w:val="00BA2682"/>
    <w:rsid w:val="00BB0FD1"/>
    <w:rsid w:val="00BB5F2C"/>
    <w:rsid w:val="00BC39AA"/>
    <w:rsid w:val="00BC43FD"/>
    <w:rsid w:val="00BC44D4"/>
    <w:rsid w:val="00BC4530"/>
    <w:rsid w:val="00BC493B"/>
    <w:rsid w:val="00BC6CEC"/>
    <w:rsid w:val="00BD1CCC"/>
    <w:rsid w:val="00BD3460"/>
    <w:rsid w:val="00BD3764"/>
    <w:rsid w:val="00BD4E56"/>
    <w:rsid w:val="00BD5E90"/>
    <w:rsid w:val="00BE15F9"/>
    <w:rsid w:val="00BE38B5"/>
    <w:rsid w:val="00BE60DD"/>
    <w:rsid w:val="00BE6BED"/>
    <w:rsid w:val="00BF1991"/>
    <w:rsid w:val="00BF21E4"/>
    <w:rsid w:val="00BF54FA"/>
    <w:rsid w:val="00BF6AEC"/>
    <w:rsid w:val="00C00C49"/>
    <w:rsid w:val="00C13FFD"/>
    <w:rsid w:val="00C215BB"/>
    <w:rsid w:val="00C2161B"/>
    <w:rsid w:val="00C23B75"/>
    <w:rsid w:val="00C2443E"/>
    <w:rsid w:val="00C253DC"/>
    <w:rsid w:val="00C2601B"/>
    <w:rsid w:val="00C30140"/>
    <w:rsid w:val="00C31A99"/>
    <w:rsid w:val="00C31D6C"/>
    <w:rsid w:val="00C32C77"/>
    <w:rsid w:val="00C34287"/>
    <w:rsid w:val="00C3442B"/>
    <w:rsid w:val="00C377CA"/>
    <w:rsid w:val="00C404A1"/>
    <w:rsid w:val="00C458AF"/>
    <w:rsid w:val="00C61F1F"/>
    <w:rsid w:val="00C63670"/>
    <w:rsid w:val="00C636CF"/>
    <w:rsid w:val="00C637BC"/>
    <w:rsid w:val="00C666B6"/>
    <w:rsid w:val="00C66DC4"/>
    <w:rsid w:val="00C74DB2"/>
    <w:rsid w:val="00C7593E"/>
    <w:rsid w:val="00C76645"/>
    <w:rsid w:val="00C76EEF"/>
    <w:rsid w:val="00C837B4"/>
    <w:rsid w:val="00C86E7D"/>
    <w:rsid w:val="00C92D64"/>
    <w:rsid w:val="00C9494D"/>
    <w:rsid w:val="00C949F2"/>
    <w:rsid w:val="00C95FA2"/>
    <w:rsid w:val="00CA1427"/>
    <w:rsid w:val="00CA5871"/>
    <w:rsid w:val="00CB2622"/>
    <w:rsid w:val="00CB4CD9"/>
    <w:rsid w:val="00CB6508"/>
    <w:rsid w:val="00CB7BE9"/>
    <w:rsid w:val="00CB7E95"/>
    <w:rsid w:val="00CC1D30"/>
    <w:rsid w:val="00CC546C"/>
    <w:rsid w:val="00CC7B81"/>
    <w:rsid w:val="00CD010B"/>
    <w:rsid w:val="00CD06A9"/>
    <w:rsid w:val="00CD64E9"/>
    <w:rsid w:val="00CD741B"/>
    <w:rsid w:val="00CE24AF"/>
    <w:rsid w:val="00CE3BF7"/>
    <w:rsid w:val="00CE4607"/>
    <w:rsid w:val="00CF0942"/>
    <w:rsid w:val="00CF5576"/>
    <w:rsid w:val="00CF6022"/>
    <w:rsid w:val="00D024E4"/>
    <w:rsid w:val="00D04DC7"/>
    <w:rsid w:val="00D056FF"/>
    <w:rsid w:val="00D07EA4"/>
    <w:rsid w:val="00D12758"/>
    <w:rsid w:val="00D1570C"/>
    <w:rsid w:val="00D217A8"/>
    <w:rsid w:val="00D25173"/>
    <w:rsid w:val="00D33071"/>
    <w:rsid w:val="00D37253"/>
    <w:rsid w:val="00D42B3D"/>
    <w:rsid w:val="00D43D96"/>
    <w:rsid w:val="00D45895"/>
    <w:rsid w:val="00D5331F"/>
    <w:rsid w:val="00D5462E"/>
    <w:rsid w:val="00D550BA"/>
    <w:rsid w:val="00D60E45"/>
    <w:rsid w:val="00D64F05"/>
    <w:rsid w:val="00D65581"/>
    <w:rsid w:val="00D71F94"/>
    <w:rsid w:val="00D73B1C"/>
    <w:rsid w:val="00D74D6A"/>
    <w:rsid w:val="00D765A4"/>
    <w:rsid w:val="00D76E73"/>
    <w:rsid w:val="00D76F04"/>
    <w:rsid w:val="00D81BA9"/>
    <w:rsid w:val="00D8341B"/>
    <w:rsid w:val="00D848C0"/>
    <w:rsid w:val="00D90094"/>
    <w:rsid w:val="00DA2D01"/>
    <w:rsid w:val="00DA3A6B"/>
    <w:rsid w:val="00DB0CD5"/>
    <w:rsid w:val="00DB4FDB"/>
    <w:rsid w:val="00DC0E48"/>
    <w:rsid w:val="00DC262B"/>
    <w:rsid w:val="00DC2AC6"/>
    <w:rsid w:val="00DD2557"/>
    <w:rsid w:val="00DE7767"/>
    <w:rsid w:val="00DF2BB7"/>
    <w:rsid w:val="00E007F5"/>
    <w:rsid w:val="00E02364"/>
    <w:rsid w:val="00E03C7F"/>
    <w:rsid w:val="00E03E12"/>
    <w:rsid w:val="00E064EB"/>
    <w:rsid w:val="00E078ED"/>
    <w:rsid w:val="00E118D7"/>
    <w:rsid w:val="00E11F7D"/>
    <w:rsid w:val="00E1434B"/>
    <w:rsid w:val="00E16286"/>
    <w:rsid w:val="00E21414"/>
    <w:rsid w:val="00E22BAF"/>
    <w:rsid w:val="00E2420B"/>
    <w:rsid w:val="00E278B7"/>
    <w:rsid w:val="00E27FED"/>
    <w:rsid w:val="00E30A27"/>
    <w:rsid w:val="00E3102B"/>
    <w:rsid w:val="00E3170C"/>
    <w:rsid w:val="00E40E21"/>
    <w:rsid w:val="00E412A8"/>
    <w:rsid w:val="00E446E9"/>
    <w:rsid w:val="00E4654D"/>
    <w:rsid w:val="00E474FA"/>
    <w:rsid w:val="00E4773D"/>
    <w:rsid w:val="00E47EE3"/>
    <w:rsid w:val="00E50687"/>
    <w:rsid w:val="00E520D0"/>
    <w:rsid w:val="00E52113"/>
    <w:rsid w:val="00E5473D"/>
    <w:rsid w:val="00E55522"/>
    <w:rsid w:val="00E5603E"/>
    <w:rsid w:val="00E56719"/>
    <w:rsid w:val="00E56806"/>
    <w:rsid w:val="00E600ED"/>
    <w:rsid w:val="00E61B50"/>
    <w:rsid w:val="00E641F4"/>
    <w:rsid w:val="00E71D0A"/>
    <w:rsid w:val="00E74C99"/>
    <w:rsid w:val="00E816ED"/>
    <w:rsid w:val="00E831F7"/>
    <w:rsid w:val="00E86596"/>
    <w:rsid w:val="00E9069C"/>
    <w:rsid w:val="00E930C5"/>
    <w:rsid w:val="00E975B8"/>
    <w:rsid w:val="00EA26FC"/>
    <w:rsid w:val="00EA7579"/>
    <w:rsid w:val="00EB2E03"/>
    <w:rsid w:val="00EB53D7"/>
    <w:rsid w:val="00EB5C61"/>
    <w:rsid w:val="00EB665E"/>
    <w:rsid w:val="00EC52AA"/>
    <w:rsid w:val="00EC654C"/>
    <w:rsid w:val="00EC71F4"/>
    <w:rsid w:val="00ED1BCF"/>
    <w:rsid w:val="00EE14F1"/>
    <w:rsid w:val="00EF35A7"/>
    <w:rsid w:val="00EF53CB"/>
    <w:rsid w:val="00F0150A"/>
    <w:rsid w:val="00F065C8"/>
    <w:rsid w:val="00F10248"/>
    <w:rsid w:val="00F11E1D"/>
    <w:rsid w:val="00F124BE"/>
    <w:rsid w:val="00F127DF"/>
    <w:rsid w:val="00F166FD"/>
    <w:rsid w:val="00F224E5"/>
    <w:rsid w:val="00F22FE3"/>
    <w:rsid w:val="00F26115"/>
    <w:rsid w:val="00F26CAF"/>
    <w:rsid w:val="00F33A30"/>
    <w:rsid w:val="00F350F1"/>
    <w:rsid w:val="00F37833"/>
    <w:rsid w:val="00F43012"/>
    <w:rsid w:val="00F439F9"/>
    <w:rsid w:val="00F43F4C"/>
    <w:rsid w:val="00F440D4"/>
    <w:rsid w:val="00F45145"/>
    <w:rsid w:val="00F54AD2"/>
    <w:rsid w:val="00F55022"/>
    <w:rsid w:val="00F60A31"/>
    <w:rsid w:val="00F60F11"/>
    <w:rsid w:val="00F63A28"/>
    <w:rsid w:val="00F63CFF"/>
    <w:rsid w:val="00F720DA"/>
    <w:rsid w:val="00F74949"/>
    <w:rsid w:val="00F74CFF"/>
    <w:rsid w:val="00F758AF"/>
    <w:rsid w:val="00F7681E"/>
    <w:rsid w:val="00F824FA"/>
    <w:rsid w:val="00F837FD"/>
    <w:rsid w:val="00F87EA9"/>
    <w:rsid w:val="00F91143"/>
    <w:rsid w:val="00F92C83"/>
    <w:rsid w:val="00FA0305"/>
    <w:rsid w:val="00FA1DFB"/>
    <w:rsid w:val="00FA4F26"/>
    <w:rsid w:val="00FB12EC"/>
    <w:rsid w:val="00FB3269"/>
    <w:rsid w:val="00FC0058"/>
    <w:rsid w:val="00FC2421"/>
    <w:rsid w:val="00FC2C27"/>
    <w:rsid w:val="00FC4B01"/>
    <w:rsid w:val="00FD0378"/>
    <w:rsid w:val="00FD0ABC"/>
    <w:rsid w:val="00FD5A52"/>
    <w:rsid w:val="00FE0584"/>
    <w:rsid w:val="00FE5E1B"/>
    <w:rsid w:val="00FF51E9"/>
    <w:rsid w:val="00FF633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EEA2D"/>
  <w15:chartTrackingRefBased/>
  <w15:docId w15:val="{04AB5438-6FE7-4D0F-AB91-7AD92D5F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fr-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942"/>
    <w:pPr>
      <w:overflowPunct w:val="0"/>
      <w:autoSpaceDE w:val="0"/>
      <w:autoSpaceDN w:val="0"/>
      <w:adjustRightInd w:val="0"/>
      <w:textAlignment w:val="baseline"/>
    </w:pPr>
    <w:rPr>
      <w:lang w:eastAsia="en-US"/>
    </w:rPr>
  </w:style>
  <w:style w:type="paragraph" w:styleId="Heading1">
    <w:name w:val="heading 1"/>
    <w:basedOn w:val="Normal"/>
    <w:next w:val="Normal"/>
    <w:qFormat/>
    <w:rsid w:val="00825CD7"/>
    <w:pPr>
      <w:keepNext/>
      <w:overflowPunct/>
      <w:autoSpaceDE/>
      <w:autoSpaceDN/>
      <w:adjustRightInd/>
      <w:textAlignment w:val="auto"/>
      <w:outlineLvl w:val="0"/>
    </w:pPr>
    <w:rPr>
      <w:rFonts w:ascii="Arial" w:hAnsi="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pPr>
      <w:jc w:val="both"/>
    </w:pPr>
    <w:rPr>
      <w:rFonts w:ascii="Arial" w:hAnsi="Arial"/>
    </w:rPr>
  </w:style>
  <w:style w:type="paragraph" w:customStyle="1" w:styleId="WPBullets">
    <w:name w:val="WP Bullets"/>
    <w:basedOn w:val="Normal"/>
    <w:pPr>
      <w:jc w:val="both"/>
    </w:pPr>
    <w:rPr>
      <w:sz w:val="24"/>
    </w:rPr>
  </w:style>
  <w:style w:type="paragraph" w:customStyle="1" w:styleId="SeqLevel9">
    <w:name w:val="Seq Level 9"/>
    <w:basedOn w:val="Normal"/>
    <w:pPr>
      <w:jc w:val="both"/>
    </w:pPr>
    <w:rPr>
      <w:sz w:val="24"/>
    </w:rPr>
  </w:style>
  <w:style w:type="paragraph" w:customStyle="1" w:styleId="SeqLevel8">
    <w:name w:val="Seq Level 8"/>
    <w:basedOn w:val="Normal"/>
    <w:pPr>
      <w:jc w:val="both"/>
    </w:pPr>
    <w:rPr>
      <w:sz w:val="24"/>
    </w:rPr>
  </w:style>
  <w:style w:type="paragraph" w:customStyle="1" w:styleId="SeqLevel7">
    <w:name w:val="Seq Level 7"/>
    <w:basedOn w:val="Normal"/>
    <w:pPr>
      <w:jc w:val="both"/>
    </w:pPr>
    <w:rPr>
      <w:sz w:val="24"/>
    </w:rPr>
  </w:style>
  <w:style w:type="paragraph" w:customStyle="1" w:styleId="SeqLevel6">
    <w:name w:val="Seq Level 6"/>
    <w:basedOn w:val="Normal"/>
    <w:pPr>
      <w:jc w:val="both"/>
    </w:pPr>
    <w:rPr>
      <w:sz w:val="24"/>
    </w:rPr>
  </w:style>
  <w:style w:type="paragraph" w:customStyle="1" w:styleId="SeqLevel5">
    <w:name w:val="Seq Level 5"/>
    <w:basedOn w:val="Normal"/>
    <w:pPr>
      <w:jc w:val="both"/>
    </w:pPr>
    <w:rPr>
      <w:sz w:val="24"/>
    </w:rPr>
  </w:style>
  <w:style w:type="paragraph" w:customStyle="1" w:styleId="SeqLevel4">
    <w:name w:val="Seq Level 4"/>
    <w:basedOn w:val="Normal"/>
    <w:pPr>
      <w:jc w:val="both"/>
    </w:pPr>
    <w:rPr>
      <w:sz w:val="24"/>
    </w:rPr>
  </w:style>
  <w:style w:type="paragraph" w:customStyle="1" w:styleId="SeqLevel3">
    <w:name w:val="Seq Level 3"/>
    <w:basedOn w:val="Normal"/>
    <w:pPr>
      <w:jc w:val="both"/>
    </w:pPr>
    <w:rPr>
      <w:sz w:val="24"/>
    </w:rPr>
  </w:style>
  <w:style w:type="paragraph" w:customStyle="1" w:styleId="SeqLevel2">
    <w:name w:val="Seq Level 2"/>
    <w:basedOn w:val="Normal"/>
    <w:pPr>
      <w:jc w:val="both"/>
    </w:pPr>
    <w:rPr>
      <w:sz w:val="24"/>
    </w:rPr>
  </w:style>
  <w:style w:type="paragraph" w:customStyle="1" w:styleId="SeqLevel1">
    <w:name w:val="Seq Level 1"/>
    <w:basedOn w:val="Normal"/>
    <w:pPr>
      <w:jc w:val="both"/>
    </w:pPr>
    <w:rPr>
      <w:sz w:val="24"/>
    </w:rPr>
  </w:style>
  <w:style w:type="paragraph" w:customStyle="1" w:styleId="NumberList">
    <w:name w:val="Number List"/>
    <w:basedOn w:val="Normal"/>
    <w:pPr>
      <w:spacing w:after="215"/>
      <w:jc w:val="both"/>
    </w:pPr>
    <w:rPr>
      <w:sz w:val="24"/>
    </w:rPr>
  </w:style>
  <w:style w:type="paragraph" w:customStyle="1" w:styleId="Indent1">
    <w:name w:val="Indent 1"/>
    <w:basedOn w:val="Normal"/>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sz w:val="24"/>
    </w:rPr>
  </w:style>
  <w:style w:type="paragraph" w:customStyle="1" w:styleId="Indent2">
    <w:name w:val="Indent 2"/>
    <w:basedOn w:val="Normal"/>
    <w:pPr>
      <w:tabs>
        <w:tab w:val="left" w:pos="7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793" w:hanging="397"/>
      <w:jc w:val="both"/>
    </w:pPr>
    <w:rPr>
      <w:sz w:val="24"/>
    </w:rPr>
  </w:style>
  <w:style w:type="paragraph" w:customStyle="1" w:styleId="Bigbullet">
    <w:name w:val="Big bullet"/>
    <w:basedOn w:val="Normal"/>
    <w:pPr>
      <w:spacing w:after="216"/>
      <w:jc w:val="both"/>
    </w:pPr>
    <w:rPr>
      <w:sz w:val="24"/>
    </w:rPr>
  </w:style>
  <w:style w:type="paragraph" w:customStyle="1" w:styleId="Smallbullet">
    <w:name w:val="Small bullet"/>
    <w:basedOn w:val="Normal"/>
    <w:pPr>
      <w:spacing w:after="144"/>
      <w:jc w:val="both"/>
    </w:pPr>
    <w:rPr>
      <w:sz w:val="24"/>
    </w:rPr>
  </w:style>
  <w:style w:type="paragraph" w:customStyle="1" w:styleId="Title1">
    <w:name w:val="Title 1"/>
    <w:basedOn w:val="Normal"/>
    <w:pPr>
      <w:keepNext/>
      <w:keepLines/>
      <w:spacing w:before="144" w:after="72"/>
      <w:jc w:val="center"/>
    </w:pPr>
    <w:rPr>
      <w:b/>
      <w:sz w:val="48"/>
    </w:rPr>
  </w:style>
  <w:style w:type="paragraph" w:customStyle="1" w:styleId="Title2">
    <w:name w:val="Title 2"/>
    <w:basedOn w:val="Normal"/>
    <w:pPr>
      <w:keepNext/>
      <w:keepLines/>
      <w:spacing w:before="144" w:after="72"/>
      <w:jc w:val="center"/>
    </w:pPr>
    <w:rPr>
      <w:b/>
      <w:sz w:val="32"/>
    </w:rPr>
  </w:style>
  <w:style w:type="paragraph" w:customStyle="1" w:styleId="TableText">
    <w:name w:val="Table Text"/>
    <w:basedOn w:val="Normal"/>
    <w:rPr>
      <w:sz w:val="24"/>
    </w:rPr>
  </w:style>
  <w:style w:type="paragraph" w:customStyle="1" w:styleId="body2">
    <w:name w:val="body 2"/>
    <w:basedOn w:val="Normal"/>
    <w:pPr>
      <w:jc w:val="both"/>
    </w:pPr>
    <w:rPr>
      <w:b/>
      <w:i/>
      <w:sz w:val="24"/>
    </w:rPr>
  </w:style>
  <w:style w:type="paragraph" w:customStyle="1" w:styleId="Table-nodec">
    <w:name w:val="Table-no dec"/>
    <w:basedOn w:val="Normal"/>
    <w:rPr>
      <w:sz w:val="24"/>
    </w:rPr>
  </w:style>
  <w:style w:type="paragraph" w:customStyle="1" w:styleId="ApSit-Title">
    <w:name w:val="Ap&amp;Sit-Title"/>
    <w:basedOn w:val="Normal"/>
    <w:pPr>
      <w:spacing w:after="226"/>
      <w:ind w:left="798"/>
      <w:jc w:val="both"/>
    </w:pPr>
    <w:rPr>
      <w:b/>
      <w:i/>
      <w:sz w:val="36"/>
    </w:rPr>
  </w:style>
  <w:style w:type="paragraph" w:customStyle="1" w:styleId="ApSit-Text">
    <w:name w:val="Ap&amp;Sit-Text"/>
    <w:basedOn w:val="Normal"/>
    <w:pPr>
      <w:ind w:left="798"/>
      <w:jc w:val="both"/>
    </w:pPr>
    <w:rPr>
      <w:sz w:val="22"/>
    </w:rPr>
  </w:style>
  <w:style w:type="paragraph" w:customStyle="1" w:styleId="Keeptogether">
    <w:name w:val="Keep together"/>
    <w:basedOn w:val="Normal"/>
    <w:pPr>
      <w:keepLines/>
      <w:jc w:val="both"/>
    </w:pPr>
    <w:rPr>
      <w:sz w:val="24"/>
    </w:rPr>
  </w:style>
  <w:style w:type="paragraph" w:customStyle="1" w:styleId="DefaultText">
    <w:name w:val="Default Text"/>
    <w:basedOn w:val="Normal"/>
    <w:pPr>
      <w:jc w:val="both"/>
    </w:pPr>
    <w:rPr>
      <w:sz w:val="24"/>
    </w:rPr>
  </w:style>
  <w:style w:type="character" w:customStyle="1" w:styleId="AnchorA">
    <w:name w:val="Anchor (A)"/>
    <w:rPr>
      <w:color w:val="0000FF"/>
      <w:spacing w:val="0"/>
      <w:sz w:val="24"/>
      <w:u w:val="single"/>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584D4F"/>
    <w:rPr>
      <w:rFonts w:ascii="Tahoma" w:hAnsi="Tahoma" w:cs="Tahoma"/>
      <w:sz w:val="16"/>
      <w:szCs w:val="16"/>
    </w:rPr>
  </w:style>
  <w:style w:type="character" w:customStyle="1" w:styleId="main11gray1">
    <w:name w:val="main11_gray1"/>
    <w:rsid w:val="00825CD7"/>
    <w:rPr>
      <w:rFonts w:ascii="Verdana" w:hAnsi="Verdana" w:hint="default"/>
      <w:color w:val="808080"/>
      <w:sz w:val="17"/>
      <w:szCs w:val="17"/>
    </w:rPr>
  </w:style>
  <w:style w:type="character" w:styleId="CommentReference">
    <w:name w:val="annotation reference"/>
    <w:uiPriority w:val="99"/>
    <w:semiHidden/>
    <w:rsid w:val="00B06BA5"/>
    <w:rPr>
      <w:sz w:val="16"/>
      <w:szCs w:val="16"/>
    </w:rPr>
  </w:style>
  <w:style w:type="paragraph" w:styleId="CommentText">
    <w:name w:val="annotation text"/>
    <w:basedOn w:val="Normal"/>
    <w:link w:val="CommentTextChar"/>
    <w:uiPriority w:val="99"/>
    <w:rsid w:val="00B06BA5"/>
  </w:style>
  <w:style w:type="paragraph" w:styleId="CommentSubject">
    <w:name w:val="annotation subject"/>
    <w:basedOn w:val="CommentText"/>
    <w:next w:val="CommentText"/>
    <w:semiHidden/>
    <w:rsid w:val="00B06BA5"/>
    <w:rPr>
      <w:b/>
      <w:bCs/>
    </w:rPr>
  </w:style>
  <w:style w:type="paragraph" w:customStyle="1" w:styleId="ColourfulShadingAccent11">
    <w:name w:val="Colourful Shading – Accent 11"/>
    <w:hidden/>
    <w:uiPriority w:val="99"/>
    <w:semiHidden/>
    <w:rsid w:val="00B71B55"/>
    <w:rPr>
      <w:lang w:eastAsia="en-US"/>
    </w:rPr>
  </w:style>
  <w:style w:type="character" w:customStyle="1" w:styleId="FooterChar">
    <w:name w:val="Footer Char"/>
    <w:link w:val="Footer"/>
    <w:uiPriority w:val="99"/>
    <w:rsid w:val="00A42B6D"/>
    <w:rPr>
      <w:lang w:eastAsia="en-US"/>
    </w:rPr>
  </w:style>
  <w:style w:type="paragraph" w:customStyle="1" w:styleId="ColourfulListAccent11">
    <w:name w:val="Colourful List – Accent 11"/>
    <w:basedOn w:val="Normal"/>
    <w:uiPriority w:val="34"/>
    <w:qFormat/>
    <w:rsid w:val="009860F4"/>
    <w:pPr>
      <w:overflowPunct/>
      <w:autoSpaceDE/>
      <w:autoSpaceDN/>
      <w:adjustRightInd/>
      <w:spacing w:after="200" w:line="276" w:lineRule="auto"/>
      <w:ind w:left="720"/>
      <w:contextualSpacing/>
      <w:textAlignment w:val="auto"/>
    </w:pPr>
    <w:rPr>
      <w:rFonts w:ascii="Calibri" w:eastAsia="Calibri" w:hAnsi="Calibri" w:cs="Arial"/>
      <w:sz w:val="22"/>
      <w:szCs w:val="22"/>
    </w:rPr>
  </w:style>
  <w:style w:type="paragraph" w:styleId="Title">
    <w:name w:val="Title"/>
    <w:basedOn w:val="Normal"/>
    <w:next w:val="Normal"/>
    <w:link w:val="TitleChar"/>
    <w:uiPriority w:val="10"/>
    <w:qFormat/>
    <w:rsid w:val="00DF2BB7"/>
    <w:pPr>
      <w:spacing w:before="240" w:after="60"/>
      <w:jc w:val="center"/>
      <w:outlineLvl w:val="0"/>
    </w:pPr>
    <w:rPr>
      <w:rFonts w:ascii="Cambria" w:eastAsia="PMingLiU" w:hAnsi="Cambria"/>
      <w:b/>
      <w:bCs/>
      <w:kern w:val="28"/>
      <w:sz w:val="32"/>
      <w:szCs w:val="32"/>
    </w:rPr>
  </w:style>
  <w:style w:type="character" w:customStyle="1" w:styleId="TitleChar">
    <w:name w:val="Title Char"/>
    <w:link w:val="Title"/>
    <w:uiPriority w:val="10"/>
    <w:rsid w:val="00DF2BB7"/>
    <w:rPr>
      <w:rFonts w:ascii="Cambria" w:eastAsia="PMingLiU" w:hAnsi="Cambria" w:cs="Times New Roman"/>
      <w:b/>
      <w:bCs/>
      <w:kern w:val="28"/>
      <w:sz w:val="32"/>
      <w:szCs w:val="32"/>
      <w:lang w:eastAsia="en-US"/>
    </w:rPr>
  </w:style>
  <w:style w:type="paragraph" w:styleId="NoSpacing">
    <w:name w:val="No Spacing"/>
    <w:uiPriority w:val="1"/>
    <w:qFormat/>
    <w:rsid w:val="00DF2BB7"/>
    <w:pPr>
      <w:overflowPunct w:val="0"/>
      <w:autoSpaceDE w:val="0"/>
      <w:autoSpaceDN w:val="0"/>
      <w:adjustRightInd w:val="0"/>
      <w:textAlignment w:val="baseline"/>
    </w:pPr>
    <w:rPr>
      <w:lang w:eastAsia="en-US"/>
    </w:rPr>
  </w:style>
  <w:style w:type="paragraph" w:styleId="Revision">
    <w:name w:val="Revision"/>
    <w:hidden/>
    <w:uiPriority w:val="99"/>
    <w:semiHidden/>
    <w:rsid w:val="009C0D65"/>
    <w:rPr>
      <w:lang w:eastAsia="en-US"/>
    </w:rPr>
  </w:style>
  <w:style w:type="paragraph" w:styleId="NormalWeb">
    <w:name w:val="Normal (Web)"/>
    <w:basedOn w:val="Normal"/>
    <w:uiPriority w:val="99"/>
    <w:unhideWhenUsed/>
    <w:rsid w:val="00AA7496"/>
    <w:pPr>
      <w:overflowPunct/>
      <w:autoSpaceDE/>
      <w:autoSpaceDN/>
      <w:adjustRightInd/>
      <w:spacing w:before="100" w:beforeAutospacing="1" w:after="100" w:afterAutospacing="1"/>
      <w:textAlignment w:val="auto"/>
    </w:pPr>
    <w:rPr>
      <w:rFonts w:ascii="Arial" w:hAnsi="Arial" w:cs="Arial"/>
      <w:sz w:val="18"/>
      <w:szCs w:val="18"/>
      <w:lang w:eastAsia="zh-TW"/>
    </w:rPr>
  </w:style>
  <w:style w:type="paragraph" w:styleId="ListParagraph">
    <w:name w:val="List Paragraph"/>
    <w:basedOn w:val="Normal"/>
    <w:uiPriority w:val="34"/>
    <w:qFormat/>
    <w:rsid w:val="003B2434"/>
    <w:pPr>
      <w:overflowPunct/>
      <w:autoSpaceDE/>
      <w:autoSpaceDN/>
      <w:adjustRightInd/>
      <w:ind w:left="720"/>
      <w:contextualSpacing/>
      <w:textAlignment w:val="auto"/>
    </w:pPr>
    <w:rPr>
      <w:rFonts w:eastAsia="SimSun"/>
      <w:sz w:val="24"/>
      <w:szCs w:val="24"/>
      <w:lang w:eastAsia="zh-CN"/>
    </w:rPr>
  </w:style>
  <w:style w:type="character" w:customStyle="1" w:styleId="CommentTextChar">
    <w:name w:val="Comment Text Char"/>
    <w:link w:val="CommentText"/>
    <w:uiPriority w:val="99"/>
    <w:rsid w:val="005C480A"/>
    <w:rPr>
      <w:lang w:eastAsia="en-US"/>
    </w:rPr>
  </w:style>
  <w:style w:type="paragraph" w:styleId="FootnoteText">
    <w:name w:val="footnote text"/>
    <w:basedOn w:val="Normal"/>
    <w:link w:val="FootnoteTextChar"/>
    <w:uiPriority w:val="99"/>
    <w:semiHidden/>
    <w:unhideWhenUsed/>
    <w:rsid w:val="00C636CF"/>
  </w:style>
  <w:style w:type="character" w:customStyle="1" w:styleId="FootnoteTextChar">
    <w:name w:val="Footnote Text Char"/>
    <w:link w:val="FootnoteText"/>
    <w:uiPriority w:val="99"/>
    <w:semiHidden/>
    <w:rsid w:val="00C636CF"/>
    <w:rPr>
      <w:lang w:val="es-ES" w:eastAsia="en-US"/>
    </w:rPr>
  </w:style>
  <w:style w:type="character" w:styleId="FootnoteReference">
    <w:name w:val="footnote reference"/>
    <w:uiPriority w:val="99"/>
    <w:semiHidden/>
    <w:unhideWhenUsed/>
    <w:rsid w:val="00C636CF"/>
    <w:rPr>
      <w:vertAlign w:val="superscript"/>
    </w:rPr>
  </w:style>
  <w:style w:type="table" w:styleId="TableGrid">
    <w:name w:val="Table Grid"/>
    <w:basedOn w:val="TableNormal"/>
    <w:uiPriority w:val="59"/>
    <w:rsid w:val="00EA2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7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1978">
      <w:bodyDiv w:val="1"/>
      <w:marLeft w:val="0"/>
      <w:marRight w:val="0"/>
      <w:marTop w:val="0"/>
      <w:marBottom w:val="0"/>
      <w:divBdr>
        <w:top w:val="none" w:sz="0" w:space="0" w:color="auto"/>
        <w:left w:val="none" w:sz="0" w:space="0" w:color="auto"/>
        <w:bottom w:val="none" w:sz="0" w:space="0" w:color="auto"/>
        <w:right w:val="none" w:sz="0" w:space="0" w:color="auto"/>
      </w:divBdr>
    </w:div>
    <w:div w:id="382563984">
      <w:bodyDiv w:val="1"/>
      <w:marLeft w:val="0"/>
      <w:marRight w:val="0"/>
      <w:marTop w:val="0"/>
      <w:marBottom w:val="0"/>
      <w:divBdr>
        <w:top w:val="none" w:sz="0" w:space="0" w:color="auto"/>
        <w:left w:val="none" w:sz="0" w:space="0" w:color="auto"/>
        <w:bottom w:val="none" w:sz="0" w:space="0" w:color="auto"/>
        <w:right w:val="none" w:sz="0" w:space="0" w:color="auto"/>
      </w:divBdr>
    </w:div>
    <w:div w:id="610167203">
      <w:bodyDiv w:val="1"/>
      <w:marLeft w:val="0"/>
      <w:marRight w:val="0"/>
      <w:marTop w:val="0"/>
      <w:marBottom w:val="0"/>
      <w:divBdr>
        <w:top w:val="none" w:sz="0" w:space="0" w:color="auto"/>
        <w:left w:val="none" w:sz="0" w:space="0" w:color="auto"/>
        <w:bottom w:val="none" w:sz="0" w:space="0" w:color="auto"/>
        <w:right w:val="none" w:sz="0" w:space="0" w:color="auto"/>
      </w:divBdr>
    </w:div>
    <w:div w:id="729307317">
      <w:bodyDiv w:val="1"/>
      <w:marLeft w:val="0"/>
      <w:marRight w:val="0"/>
      <w:marTop w:val="0"/>
      <w:marBottom w:val="0"/>
      <w:divBdr>
        <w:top w:val="none" w:sz="0" w:space="0" w:color="auto"/>
        <w:left w:val="none" w:sz="0" w:space="0" w:color="auto"/>
        <w:bottom w:val="none" w:sz="0" w:space="0" w:color="auto"/>
        <w:right w:val="none" w:sz="0" w:space="0" w:color="auto"/>
      </w:divBdr>
    </w:div>
    <w:div w:id="1108356164">
      <w:bodyDiv w:val="1"/>
      <w:marLeft w:val="0"/>
      <w:marRight w:val="0"/>
      <w:marTop w:val="0"/>
      <w:marBottom w:val="0"/>
      <w:divBdr>
        <w:top w:val="none" w:sz="0" w:space="0" w:color="auto"/>
        <w:left w:val="none" w:sz="0" w:space="0" w:color="auto"/>
        <w:bottom w:val="none" w:sz="0" w:space="0" w:color="auto"/>
        <w:right w:val="none" w:sz="0" w:space="0" w:color="auto"/>
      </w:divBdr>
      <w:divsChild>
        <w:div w:id="1852135008">
          <w:marLeft w:val="0"/>
          <w:marRight w:val="0"/>
          <w:marTop w:val="0"/>
          <w:marBottom w:val="0"/>
          <w:divBdr>
            <w:top w:val="none" w:sz="0" w:space="0" w:color="auto"/>
            <w:left w:val="none" w:sz="0" w:space="0" w:color="auto"/>
            <w:bottom w:val="none" w:sz="0" w:space="0" w:color="auto"/>
            <w:right w:val="none" w:sz="0" w:space="0" w:color="auto"/>
          </w:divBdr>
        </w:div>
      </w:divsChild>
    </w:div>
    <w:div w:id="1719284295">
      <w:bodyDiv w:val="1"/>
      <w:marLeft w:val="0"/>
      <w:marRight w:val="0"/>
      <w:marTop w:val="0"/>
      <w:marBottom w:val="0"/>
      <w:divBdr>
        <w:top w:val="none" w:sz="0" w:space="0" w:color="auto"/>
        <w:left w:val="none" w:sz="0" w:space="0" w:color="auto"/>
        <w:bottom w:val="none" w:sz="0" w:space="0" w:color="auto"/>
        <w:right w:val="none" w:sz="0" w:space="0" w:color="auto"/>
      </w:divBdr>
    </w:div>
    <w:div w:id="1929773507">
      <w:bodyDiv w:val="1"/>
      <w:marLeft w:val="0"/>
      <w:marRight w:val="0"/>
      <w:marTop w:val="0"/>
      <w:marBottom w:val="0"/>
      <w:divBdr>
        <w:top w:val="none" w:sz="0" w:space="0" w:color="auto"/>
        <w:left w:val="none" w:sz="0" w:space="0" w:color="auto"/>
        <w:bottom w:val="none" w:sz="0" w:space="0" w:color="auto"/>
        <w:right w:val="none" w:sz="0" w:space="0" w:color="auto"/>
      </w:divBdr>
    </w:div>
    <w:div w:id="20351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CRC Team Document" ma:contentTypeID="0x010100F306B2604BE44180B8B82333BE64DF4E005A5CBB6C53404A16AAEA5338BA52399900E67AA88A9EFA994F96A8593D2BC0DA1C" ma:contentTypeVersion="34" ma:contentTypeDescription="Upload Form" ma:contentTypeScope="" ma:versionID="b0ac7375a1542248afa19cbeec9fa4a3">
  <xsd:schema xmlns:xsd="http://www.w3.org/2001/XMLSchema" xmlns:xs="http://www.w3.org/2001/XMLSchema" xmlns:p="http://schemas.microsoft.com/office/2006/metadata/properties" xmlns:ns1="http://schemas.microsoft.com/sharepoint/v3" xmlns:ns2="c40b0493-c1b9-4c2c-bbab-062dda7910f3" xmlns:ns3="a8a2af44-4b8d-404b-a8bd-4186350a523c" targetNamespace="http://schemas.microsoft.com/office/2006/metadata/properties" ma:root="true" ma:fieldsID="ef7da9a30dc23e8b74e668310993f0ce" ns1:_="" ns2:_="" ns3:_="">
    <xsd:import namespace="http://schemas.microsoft.com/sharepoint/v3"/>
    <xsd:import namespace="c40b0493-c1b9-4c2c-bbab-062dda7910f3"/>
    <xsd:import namespace="a8a2af44-4b8d-404b-a8bd-4186350a523c"/>
    <xsd:element name="properties">
      <xsd:complexType>
        <xsd:sequence>
          <xsd:element name="documentManagement">
            <xsd:complexType>
              <xsd:all>
                <xsd:element ref="ns2:ICRCIMP_IsFocus" minOccurs="0"/>
                <xsd:element ref="ns3:IsIntranet" minOccurs="0"/>
                <xsd:element ref="ns3:Period_x0020_start" minOccurs="0"/>
                <xsd:element ref="ns3:Period_x0020_end" minOccurs="0"/>
                <xsd:element ref="ns2:ICRCIMP_IsRecord" minOccurs="0"/>
                <xsd:element ref="ns2:ICRCIMP_RMIdentifier" minOccurs="0"/>
                <xsd:element ref="ns2:ICRCIMP_RMTransfer" minOccurs="0"/>
                <xsd:element ref="ns1:AverageRating" minOccurs="0"/>
                <xsd:element ref="ns1:RatingCount" minOccurs="0"/>
                <xsd:element ref="ns3:_dlc_DocIdUrl" minOccurs="0"/>
                <xsd:element ref="ns2:ICRCIMP_RMUnitInCharge_H" minOccurs="0"/>
                <xsd:element ref="ns3:TaxCatchAll" minOccurs="0"/>
                <xsd:element ref="ns3:TaxCatchAllLabel" minOccurs="0"/>
                <xsd:element ref="ns3:_dlc_DocIdPersistId" minOccurs="0"/>
                <xsd:element ref="ns2:ICRCIMP_Keyword_H" minOccurs="0"/>
                <xsd:element ref="ns3:_dlc_DocId" minOccurs="0"/>
                <xsd:element ref="ns2:ICRCIMP_OrganizationalAccronym_H" minOccurs="0"/>
                <xsd:element ref="ns2:ICRCIMP_Country_H" minOccurs="0"/>
                <xsd:element ref="ns2:ICRCIMP_DocumentType_H" minOccurs="0"/>
                <xsd:element ref="ns2:ICRCIMP_IHT_H" minOccurs="0"/>
                <xsd:element ref="ns2:ICRCIMP_BusinessFunction_H" minOccurs="0"/>
                <xsd:element ref="ns2:ICRCIMP_Topic_H" minOccurs="0"/>
                <xsd:element ref="ns2:e529b524e52949d1b285bf092306d5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40b0493-c1b9-4c2c-bbab-062dda7910f3" elementFormDefault="qualified">
    <xsd:import namespace="http://schemas.microsoft.com/office/2006/documentManagement/types"/>
    <xsd:import namespace="http://schemas.microsoft.com/office/infopath/2007/PartnerControls"/>
    <xsd:element name="ICRCIMP_IsFocus" ma:index="5" nillable="true" ma:displayName="Is Key Document" ma:default="0" ma:internalName="ICRCIMP_IsFocus">
      <xsd:simpleType>
        <xsd:restriction base="dms:Boolean"/>
      </xsd:simpleType>
    </xsd:element>
    <xsd:element name="ICRCIMP_IsRecord" ma:index="12" nillable="true" ma:displayName="Is Record" ma:default="0" ma:internalName="ICRCIMP_IsRecord">
      <xsd:simpleType>
        <xsd:restriction base="dms:Boolean"/>
      </xsd:simpleType>
    </xsd:element>
    <xsd:element name="ICRCIMP_RMIdentifier" ma:index="13" nillable="true" ma:displayName="RM Identifier" ma:hidden="true" ma:internalName="ICRCIMP_RMIdentifier" ma:readOnly="false">
      <xsd:simpleType>
        <xsd:restriction base="dms:Text"/>
      </xsd:simpleType>
    </xsd:element>
    <xsd:element name="ICRCIMP_RMTransfer" ma:index="15" nillable="true" ma:displayName="RM Transfer" ma:format="Image" ma:hidden="true" ma:internalName="ICRCIMP_RMTransf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CRCIMP_RMUnitInCharge_H" ma:index="25" nillable="true" ma:taxonomy="true" ma:internalName="ICRCIMP_RMUnitInCharge_H" ma:taxonomyFieldName="ICRCIMP_RMUnitInCharge" ma:displayName="RM Unit In Charge" ma:readOnly="false" ma:default="" ma:fieldId="{6e3f7d82-bb30-4acf-bd11-eef511e2f6ff}"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Keyword_H" ma:index="29" nillable="true" ma:taxonomy="true" ma:internalName="ICRCIMP_Keyword_H" ma:taxonomyFieldName="ICRCIMP_Keyword" ma:displayName="Keyword" ma:readOnly="false" ma:default="" ma:fieldId="{f27af7a6-d078-4508-aeeb-bc60d2b2a9c2}" ma:taxonomyMulti="true" ma:sspId="ab0fa9d1-5a5a-4c9b-9c24-b67ffc5bb60f" ma:termSetId="9e1982ce-954c-4bc3-b476-a56a519943c0" ma:anchorId="dc16195f-09ad-42a4-9fc8-901be5812cbf" ma:open="false" ma:isKeyword="false">
      <xsd:complexType>
        <xsd:sequence>
          <xsd:element ref="pc:Terms" minOccurs="0" maxOccurs="1"/>
        </xsd:sequence>
      </xsd:complexType>
    </xsd:element>
    <xsd:element name="ICRCIMP_OrganizationalAccronym_H" ma:index="31" nillable="true" ma:taxonomy="true" ma:internalName="ICRCIMP_OrganizationalAccronym_H" ma:taxonomyFieldName="ICRCIMP_OrganizationalAccronym" ma:displayName="Organizational Acronym" ma:readOnly="false" ma:default="" ma:fieldId="{7ccf5c89-e992-4c56-8c3d-f080454b7083}"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Country_H" ma:index="32" nillable="true" ma:taxonomy="true" ma:internalName="ICRCIMP_Country_H" ma:taxonomyFieldName="ICRCIMP_Country" ma:displayName="Country" ma:readOnly="false" ma:default="1;#No Country|1f55df4f-c103-4303-b974-426a8e7d1d06" ma:fieldId="{43c356ae-dbf9-4781-9db5-36f4e2c43aa5}" ma:taxonomyMulti="true" ma:sspId="ab0fa9d1-5a5a-4c9b-9c24-b67ffc5bb60f" ma:termSetId="9e1982ce-954c-4bc3-b476-a56a519943c0" ma:anchorId="ef6172f5-22a7-44c1-85b4-1009e07f4347" ma:open="false" ma:isKeyword="false">
      <xsd:complexType>
        <xsd:sequence>
          <xsd:element ref="pc:Terms" minOccurs="0" maxOccurs="1"/>
        </xsd:sequence>
      </xsd:complexType>
    </xsd:element>
    <xsd:element name="ICRCIMP_DocumentType_H" ma:index="33" nillable="true" ma:taxonomy="true" ma:internalName="ICRCIMP_DocumentType_H" ma:taxonomyFieldName="ICRCIMP_DocumentType" ma:displayName="Document Type" ma:readOnly="false" ma:default="" ma:fieldId="{be9838ba-4f15-4a58-a832-ef14848e4da7}" ma:sspId="ab0fa9d1-5a5a-4c9b-9c24-b67ffc5bb60f" ma:termSetId="9e1982ce-954c-4bc3-b476-a56a519943c0" ma:anchorId="d4aee717-125d-40b5-a4ac-9555539d892b" ma:open="false" ma:isKeyword="false">
      <xsd:complexType>
        <xsd:sequence>
          <xsd:element ref="pc:Terms" minOccurs="0" maxOccurs="1"/>
        </xsd:sequence>
      </xsd:complexType>
    </xsd:element>
    <xsd:element name="ICRCIMP_IHT_H" ma:index="34" nillable="true" ma:taxonomy="true" ma:internalName="ICRCIMP_IHT_H" ma:taxonomyFieldName="ICRCIMP_IHT" ma:displayName="IHT" ma:readOnly="false" ma:default="2;#Internal|23eb6094-56fc-4ad4-8ae2-cf1575a694f0" ma:fieldId="{065c2617-21f6-47e4-87f5-3c0378fecd5d}" ma:sspId="ab0fa9d1-5a5a-4c9b-9c24-b67ffc5bb60f" ma:termSetId="9e1982ce-954c-4bc3-b476-a56a519943c0" ma:anchorId="b0b0a92e-8599-45de-9f88-f18d1883a95e" ma:open="false" ma:isKeyword="false">
      <xsd:complexType>
        <xsd:sequence>
          <xsd:element ref="pc:Terms" minOccurs="0" maxOccurs="1"/>
        </xsd:sequence>
      </xsd:complexType>
    </xsd:element>
    <xsd:element name="ICRCIMP_BusinessFunction_H" ma:index="35" nillable="true" ma:taxonomy="true" ma:internalName="ICRCIMP_BusinessFunction_H" ma:taxonomyFieldName="ICRCIMP_BusinessFunction" ma:displayName="Business Function" ma:readOnly="false" ma:default="5;#Law|ebb78456-2cef-4fee-ad6e-a02d8cf12b83" ma:fieldId="{135f9e93-e411-4f51-a3e4-c80a6701173e}" ma:sspId="ab0fa9d1-5a5a-4c9b-9c24-b67ffc5bb60f" ma:termSetId="9e1982ce-954c-4bc3-b476-a56a519943c0" ma:anchorId="1f494b62-34d6-4855-af7c-08b76e795dc3" ma:open="false" ma:isKeyword="false">
      <xsd:complexType>
        <xsd:sequence>
          <xsd:element ref="pc:Terms" minOccurs="0" maxOccurs="1"/>
        </xsd:sequence>
      </xsd:complexType>
    </xsd:element>
    <xsd:element name="ICRCIMP_Topic_H" ma:index="36" nillable="true" ma:taxonomy="true" ma:internalName="ICRCIMP_Topic_H" ma:taxonomyFieldName="Key_x0020_Issue" ma:displayName="Key Issue" ma:readOnly="false" ma:default="" ma:fieldId="{3c075bcb-7e07-4d9c-acf9-7529be614bbf}" ma:taxonomyMulti="true" ma:sspId="ab0fa9d1-5a5a-4c9b-9c24-b67ffc5bb60f" ma:termSetId="9e1982ce-954c-4bc3-b476-a56a519943c0" ma:anchorId="a8ad2310-98ac-4bbe-9c4d-0a57da7951af" ma:open="false" ma:isKeyword="false">
      <xsd:complexType>
        <xsd:sequence>
          <xsd:element ref="pc:Terms" minOccurs="0" maxOccurs="1"/>
        </xsd:sequence>
      </xsd:complexType>
    </xsd:element>
    <xsd:element name="e529b524e52949d1b285bf092306d542" ma:index="38" nillable="true" ma:taxonomy="true" ma:internalName="e529b524e52949d1b285bf092306d542" ma:taxonomyFieldName="ICRCIMP_KeyIssue" ma:displayName="Key Issue" ma:fieldId="{e529b524-e529-49d1-b285-bf092306d542}" ma:sspId="ab0fa9d1-5a5a-4c9b-9c24-b67ffc5bb60f" ma:termSetId="9e1982ce-954c-4bc3-b476-a56a519943c0" ma:anchorId="a8ad2310-98ac-4bbe-9c4d-0a57da7951af"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a2af44-4b8d-404b-a8bd-4186350a523c" elementFormDefault="qualified">
    <xsd:import namespace="http://schemas.microsoft.com/office/2006/documentManagement/types"/>
    <xsd:import namespace="http://schemas.microsoft.com/office/infopath/2007/PartnerControls"/>
    <xsd:element name="IsIntranet" ma:index="6" nillable="true" ma:displayName="Is Intranet" ma:default="0" ma:internalName="IsIntranet">
      <xsd:simpleType>
        <xsd:restriction base="dms:Boolean"/>
      </xsd:simpleType>
    </xsd:element>
    <xsd:element name="Period_x0020_start" ma:index="10" nillable="true" ma:displayName="Period start" ma:default="[today]" ma:format="DateOnly" ma:internalName="Period_x0020_start">
      <xsd:simpleType>
        <xsd:restriction base="dms:DateTime"/>
      </xsd:simpleType>
    </xsd:element>
    <xsd:element name="Period_x0020_end" ma:index="11" nillable="true" ma:displayName="Period end" ma:format="DateOnly" ma:internalName="Period_x0020_end">
      <xsd:simpleType>
        <xsd:restriction base="dms:DateTime"/>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6" nillable="true" ma:displayName="Taxonomy Catch All Column" ma:hidden="true" ma:list="{3f9006d9-5173-442d-8652-6b1b42c690e3}" ma:internalName="TaxCatchAll" ma:showField="CatchAllData" ma:web="c40b0493-c1b9-4c2c-bbab-062dda7910f3">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3f9006d9-5173-442d-8652-6b1b42c690e3}" ma:internalName="TaxCatchAllLabel" ma:readOnly="true" ma:showField="CatchAllDataLabel" ma:web="c40b0493-c1b9-4c2c-bbab-062dda7910f3">
      <xsd:complexType>
        <xsd:complexContent>
          <xsd:extension base="dms:MultiChoiceLookup">
            <xsd:sequence>
              <xsd:element name="Value" type="dms:Lookup" maxOccurs="unbounded" minOccurs="0"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_dlc_DocId" ma:index="30"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CRCIMP_BusinessFunction_H xmlns="c40b0493-c1b9-4c2c-bbab-062dda7910f3">
      <Terms xmlns="http://schemas.microsoft.com/office/infopath/2007/PartnerControls">
        <TermInfo xmlns="http://schemas.microsoft.com/office/infopath/2007/PartnerControls">
          <TermName xmlns="http://schemas.microsoft.com/office/infopath/2007/PartnerControls">Law</TermName>
          <TermId xmlns="http://schemas.microsoft.com/office/infopath/2007/PartnerControls">ebb78456-2cef-4fee-ad6e-a02d8cf12b83</TermId>
        </TermInfo>
      </Terms>
    </ICRCIMP_BusinessFunction_H>
    <Period_x0020_start xmlns="a8a2af44-4b8d-404b-a8bd-4186350a523c">2019-05-23T22:00:00+00:00</Period_x0020_start>
    <TaxCatchAll xmlns="a8a2af44-4b8d-404b-a8bd-4186350a523c">
      <Value>9</Value>
      <Value>5</Value>
      <Value>2</Value>
      <Value>1</Value>
    </TaxCatchAll>
    <e529b524e52949d1b285bf092306d542 xmlns="c40b0493-c1b9-4c2c-bbab-062dda7910f3">
      <Terms xmlns="http://schemas.microsoft.com/office/infopath/2007/PartnerControls"/>
    </e529b524e52949d1b285bf092306d542>
    <ICRCIMP_RMIdentifier xmlns="c40b0493-c1b9-4c2c-bbab-062dda7910f3" xsi:nil="true"/>
    <ICRCIMP_Keyword_H xmlns="c40b0493-c1b9-4c2c-bbab-062dda7910f3">
      <Terms xmlns="http://schemas.microsoft.com/office/infopath/2007/PartnerControls"/>
    </ICRCIMP_Keyword_H>
    <IsIntranet xmlns="a8a2af44-4b8d-404b-a8bd-4186350a523c">false</IsIntranet>
    <ICRCIMP_Topic_H xmlns="c40b0493-c1b9-4c2c-bbab-062dda7910f3">
      <Terms xmlns="http://schemas.microsoft.com/office/infopath/2007/PartnerControls"/>
    </ICRCIMP_Topic_H>
    <ICRCIMP_RMTransfer xmlns="c40b0493-c1b9-4c2c-bbab-062dda7910f3">
      <Url xsi:nil="true"/>
      <Description xsi:nil="true"/>
    </ICRCIMP_RMTransfer>
    <ICRCIMP_IsRecord xmlns="c40b0493-c1b9-4c2c-bbab-062dda7910f3">false</ICRCIMP_IsRecord>
    <RatingCount xmlns="http://schemas.microsoft.com/sharepoint/v3" xsi:nil="true"/>
    <ICRCIMP_IsFocus xmlns="c40b0493-c1b9-4c2c-bbab-062dda7910f3">false</ICRCIMP_IsFocus>
    <AverageRating xmlns="http://schemas.microsoft.com/sharepoint/v3" xsi:nil="true"/>
    <ICRCIMP_RMUnitInCharge_H xmlns="c40b0493-c1b9-4c2c-bbab-062dda7910f3">
      <Terms xmlns="http://schemas.microsoft.com/office/infopath/2007/PartnerControls">
        <TermInfo xmlns="http://schemas.microsoft.com/office/infopath/2007/PartnerControls">
          <TermName xmlns="http://schemas.microsoft.com/office/infopath/2007/PartnerControls">GVA_DP_JUR_THEM</TermName>
          <TermId xmlns="http://schemas.microsoft.com/office/infopath/2007/PartnerControls">2a8bb315-ac83-4d32-852c-f31d75bd8fcd</TermId>
        </TermInfo>
      </Terms>
    </ICRCIMP_RMUnitInCharge_H>
    <ICRCIMP_OrganizationalAccronym_H xmlns="c40b0493-c1b9-4c2c-bbab-062dda7910f3">
      <Terms xmlns="http://schemas.microsoft.com/office/infopath/2007/PartnerControls"/>
    </ICRCIMP_OrganizationalAccronym_H>
    <ICRCIMP_IHT_H xmlns="c40b0493-c1b9-4c2c-bbab-062dda7910f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23eb6094-56fc-4ad4-8ae2-cf1575a694f0</TermId>
        </TermInfo>
      </Terms>
    </ICRCIMP_IHT_H>
    <Period_x0020_end xmlns="a8a2af44-4b8d-404b-a8bd-4186350a523c" xsi:nil="true"/>
    <ICRCIMP_Country_H xmlns="c40b0493-c1b9-4c2c-bbab-062dda7910f3">
      <Terms xmlns="http://schemas.microsoft.com/office/infopath/2007/PartnerControls">
        <TermInfo xmlns="http://schemas.microsoft.com/office/infopath/2007/PartnerControls">
          <TermName xmlns="http://schemas.microsoft.com/office/infopath/2007/PartnerControls">No Country</TermName>
          <TermId xmlns="http://schemas.microsoft.com/office/infopath/2007/PartnerControls">1f55df4f-c103-4303-b974-426a8e7d1d06</TermId>
        </TermInfo>
      </Terms>
    </ICRCIMP_Country_H>
    <ICRCIMP_DocumentType_H xmlns="c40b0493-c1b9-4c2c-bbab-062dda7910f3">
      <Terms xmlns="http://schemas.microsoft.com/office/infopath/2007/PartnerControls"/>
    </ICRCIMP_DocumentType_H>
  </documentManagement>
</p:properties>
</file>

<file path=customXml/item6.xml><?xml version="1.0" encoding="utf-8"?>
<?mso-contentType ?>
<SharedContentType xmlns="Microsoft.SharePoint.Taxonomy.ContentTypeSync" SourceId="ab0fa9d1-5a5a-4c9b-9c24-b67ffc5bb60f" ContentTypeId="0x010100F306B2604BE44180B8B82333BE64DF4E005A5CBB6C53404A16AAEA5338BA523999"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17BC9-CB13-452A-9873-729F10E29E4C}">
  <ds:schemaRefs>
    <ds:schemaRef ds:uri="http://schemas.microsoft.com/sharepoint/v3/contenttype/forms"/>
  </ds:schemaRefs>
</ds:datastoreItem>
</file>

<file path=customXml/itemProps2.xml><?xml version="1.0" encoding="utf-8"?>
<ds:datastoreItem xmlns:ds="http://schemas.openxmlformats.org/officeDocument/2006/customXml" ds:itemID="{B938E820-7EF2-44CC-9A25-D7AC37F6D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0b0493-c1b9-4c2c-bbab-062dda7910f3"/>
    <ds:schemaRef ds:uri="a8a2af44-4b8d-404b-a8bd-4186350a5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9231C-D341-4D17-94BF-19C198B06863}">
  <ds:schemaRefs>
    <ds:schemaRef ds:uri="http://schemas.microsoft.com/office/2006/metadata/longProperties"/>
  </ds:schemaRefs>
</ds:datastoreItem>
</file>

<file path=customXml/itemProps4.xml><?xml version="1.0" encoding="utf-8"?>
<ds:datastoreItem xmlns:ds="http://schemas.openxmlformats.org/officeDocument/2006/customXml" ds:itemID="{D2971809-72BD-4451-95A1-D55A45FBD0F8}">
  <ds:schemaRefs>
    <ds:schemaRef ds:uri="http://schemas.microsoft.com/sharepoint/events"/>
  </ds:schemaRefs>
</ds:datastoreItem>
</file>

<file path=customXml/itemProps5.xml><?xml version="1.0" encoding="utf-8"?>
<ds:datastoreItem xmlns:ds="http://schemas.openxmlformats.org/officeDocument/2006/customXml" ds:itemID="{5B02A4BA-AD23-4E94-93DB-B4686BFF044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8a2af44-4b8d-404b-a8bd-4186350a523c"/>
    <ds:schemaRef ds:uri="c40b0493-c1b9-4c2c-bbab-062dda7910f3"/>
    <ds:schemaRef ds:uri="http://www.w3.org/XML/1998/namespace"/>
    <ds:schemaRef ds:uri="http://purl.org/dc/dcmitype/"/>
  </ds:schemaRefs>
</ds:datastoreItem>
</file>

<file path=customXml/itemProps6.xml><?xml version="1.0" encoding="utf-8"?>
<ds:datastoreItem xmlns:ds="http://schemas.openxmlformats.org/officeDocument/2006/customXml" ds:itemID="{7BCC8AF3-FA56-4356-B09B-4F6669F1FDF3}">
  <ds:schemaRefs>
    <ds:schemaRef ds:uri="Microsoft.SharePoint.Taxonomy.ContentTypeSync"/>
  </ds:schemaRefs>
</ds:datastoreItem>
</file>

<file path=customXml/itemProps7.xml><?xml version="1.0" encoding="utf-8"?>
<ds:datastoreItem xmlns:ds="http://schemas.openxmlformats.org/officeDocument/2006/customXml" ds:itemID="{96D3AB2C-7E3D-4A2D-A7D7-A2F8CE84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1913</Words>
  <Characters>10845</Characters>
  <Application>Microsoft Office Word</Application>
  <DocSecurity>0</DocSecurity>
  <Lines>90</Lines>
  <Paragraphs>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International Conference of the Red Cross and Red Crescent</vt:lpstr>
      <vt:lpstr>International Conference of the Red Cross and Red Crescent</vt:lpstr>
    </vt:vector>
  </TitlesOfParts>
  <Company>ICRC</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of the Red Cross and Red Crescent</dc:title>
  <dc:subject/>
  <dc:creator>Cristina Purrinos Zaro Javier</dc:creator>
  <cp:keywords/>
  <cp:lastModifiedBy>Margarita Polo</cp:lastModifiedBy>
  <cp:revision>6</cp:revision>
  <cp:lastPrinted>2019-08-16T08:02:00Z</cp:lastPrinted>
  <dcterms:created xsi:type="dcterms:W3CDTF">2019-09-16T18:50:00Z</dcterms:created>
  <dcterms:modified xsi:type="dcterms:W3CDTF">2019-09-17T17:23:00Z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ti_ItemDeclaredRecord">
    <vt:lpwstr/>
  </property>
  <property fmtid="{D5CDD505-2E9C-101B-9397-08002B2CF9AE}" pid="3" name="_vti_ItemHoldRecordStatus">
    <vt:lpwstr/>
  </property>
  <property fmtid="{D5CDD505-2E9C-101B-9397-08002B2CF9AE}" pid="4" name="ecm_RecordRestrictions">
    <vt:lpwstr/>
  </property>
  <property fmtid="{D5CDD505-2E9C-101B-9397-08002B2CF9AE}" pid="5" name="ICRCIMP_IsRecord">
    <vt:lpwstr>True</vt:lpwstr>
  </property>
  <property fmtid="{D5CDD505-2E9C-101B-9397-08002B2CF9AE}" pid="6" name="Period start">
    <vt:lpwstr>2019-05-24T00:00:00Z</vt:lpwstr>
  </property>
  <property fmtid="{D5CDD505-2E9C-101B-9397-08002B2CF9AE}" pid="7" name="ICRCIMP_RMIdentifier">
    <vt:lpwstr/>
  </property>
  <property fmtid="{D5CDD505-2E9C-101B-9397-08002B2CF9AE}" pid="8" name="ICRCIMP_RMUnitInCharge_H">
    <vt:lpwstr>GVA_DP_JUR_THEM|2a8bb315-ac83-4d32-852c-f31d75bd8fcd</vt:lpwstr>
  </property>
  <property fmtid="{D5CDD505-2E9C-101B-9397-08002B2CF9AE}" pid="9" name="ICRCIMP_Keyword_H">
    <vt:lpwstr/>
  </property>
  <property fmtid="{D5CDD505-2E9C-101B-9397-08002B2CF9AE}" pid="10" name="TaxCatchAll">
    <vt:lpwstr>9;#GVA_DP_JUR_THEM|2a8bb315-ac83-4d32-852c-f31d75bd8fcd;#5;#Law|ebb78456-2cef-4fee-ad6e-a02d8cf12b83;#2;#Internal|23eb6094-56fc-4ad4-8ae2-cf1575a694f0;#1;#No Country|1f55df4f-c103-4303-b974-426a8e7d1d06</vt:lpwstr>
  </property>
  <property fmtid="{D5CDD505-2E9C-101B-9397-08002B2CF9AE}" pid="11" name="ICRCIMP_Topic_H">
    <vt:lpwstr/>
  </property>
  <property fmtid="{D5CDD505-2E9C-101B-9397-08002B2CF9AE}" pid="12" name="ICRCIMP_RMTransfer">
    <vt:lpwstr>, </vt:lpwstr>
  </property>
  <property fmtid="{D5CDD505-2E9C-101B-9397-08002B2CF9AE}" pid="13" name="IsIntranet">
    <vt:lpwstr>0</vt:lpwstr>
  </property>
  <property fmtid="{D5CDD505-2E9C-101B-9397-08002B2CF9AE}" pid="14" name="RatingCount">
    <vt:lpwstr/>
  </property>
  <property fmtid="{D5CDD505-2E9C-101B-9397-08002B2CF9AE}" pid="15" name="ICRCIMP_OrganizationalAccronym_H">
    <vt:lpwstr/>
  </property>
  <property fmtid="{D5CDD505-2E9C-101B-9397-08002B2CF9AE}" pid="16" name="ICRCIMP_IsFocus">
    <vt:lpwstr>0</vt:lpwstr>
  </property>
  <property fmtid="{D5CDD505-2E9C-101B-9397-08002B2CF9AE}" pid="17" name="ICRCIMP_Country_H">
    <vt:lpwstr>No Country|1f55df4f-c103-4303-b974-426a8e7d1d06</vt:lpwstr>
  </property>
  <property fmtid="{D5CDD505-2E9C-101B-9397-08002B2CF9AE}" pid="18" name="AverageRating">
    <vt:lpwstr/>
  </property>
  <property fmtid="{D5CDD505-2E9C-101B-9397-08002B2CF9AE}" pid="19" name="ICRCIMP_DocumentType_H">
    <vt:lpwstr/>
  </property>
  <property fmtid="{D5CDD505-2E9C-101B-9397-08002B2CF9AE}" pid="20" name="ICRCIMP_IHT_H">
    <vt:lpwstr>Internal|23eb6094-56fc-4ad4-8ae2-cf1575a694f0</vt:lpwstr>
  </property>
  <property fmtid="{D5CDD505-2E9C-101B-9397-08002B2CF9AE}" pid="21" name="ICRCIMP_BusinessFunction_H">
    <vt:lpwstr>Law|ebb78456-2cef-4fee-ad6e-a02d8cf12b83</vt:lpwstr>
  </property>
  <property fmtid="{D5CDD505-2E9C-101B-9397-08002B2CF9AE}" pid="22" name="ICRCIMP_IHT">
    <vt:lpwstr>2;#Internal|23eb6094-56fc-4ad4-8ae2-cf1575a694f0</vt:lpwstr>
  </property>
  <property fmtid="{D5CDD505-2E9C-101B-9397-08002B2CF9AE}" pid="23" name="ICRCIMP_Keyword">
    <vt:lpwstr/>
  </property>
  <property fmtid="{D5CDD505-2E9C-101B-9397-08002B2CF9AE}" pid="24" name="ICRCIMP_BusinessFunction">
    <vt:lpwstr>5;#Law|ebb78456-2cef-4fee-ad6e-a02d8cf12b83</vt:lpwstr>
  </property>
  <property fmtid="{D5CDD505-2E9C-101B-9397-08002B2CF9AE}" pid="25" name="ICRCIMP_DocumentType">
    <vt:lpwstr/>
  </property>
  <property fmtid="{D5CDD505-2E9C-101B-9397-08002B2CF9AE}" pid="26" name="Key Issue">
    <vt:lpwstr/>
  </property>
  <property fmtid="{D5CDD505-2E9C-101B-9397-08002B2CF9AE}" pid="27" name="ICRCIMP_ManageAccess">
    <vt:lpwstr>False</vt:lpwstr>
  </property>
  <property fmtid="{D5CDD505-2E9C-101B-9397-08002B2CF9AE}" pid="28" name="ICRCIMP_Country">
    <vt:lpwstr>1;#No Country|1f55df4f-c103-4303-b974-426a8e7d1d06</vt:lpwstr>
  </property>
  <property fmtid="{D5CDD505-2E9C-101B-9397-08002B2CF9AE}" pid="29" name="ICRCIMP_RMUnitInCharge">
    <vt:lpwstr>9;#GVA_DP_JUR_THEM|2a8bb315-ac83-4d32-852c-f31d75bd8fcd</vt:lpwstr>
  </property>
  <property fmtid="{D5CDD505-2E9C-101B-9397-08002B2CF9AE}" pid="30" name="ICRCIMP_OrganizationalAccronym">
    <vt:lpwstr/>
  </property>
  <property fmtid="{D5CDD505-2E9C-101B-9397-08002B2CF9AE}" pid="31" name="_dlc_DocId">
    <vt:lpwstr>TSJUR-16-8123</vt:lpwstr>
  </property>
  <property fmtid="{D5CDD505-2E9C-101B-9397-08002B2CF9AE}" pid="32" name="_dlc_DocIdItemGuid">
    <vt:lpwstr>6116e725-d855-418b-958a-535846c8ffaa</vt:lpwstr>
  </property>
  <property fmtid="{D5CDD505-2E9C-101B-9397-08002B2CF9AE}" pid="33" name="_dlc_DocIdUrl">
    <vt:lpwstr>https://collab.ext.icrc.org/sites/TS_JUR/_layouts/15/DocIdRedir.aspx?ID=TSJUR-16-8123, TSJUR-16-8123</vt:lpwstr>
  </property>
  <property fmtid="{D5CDD505-2E9C-101B-9397-08002B2CF9AE}" pid="34" name="ICRCIMP_KeyIssue">
    <vt:lpwstr/>
  </property>
  <property fmtid="{D5CDD505-2E9C-101B-9397-08002B2CF9AE}" pid="35" name="e529b524e52949d1b285bf092306d542">
    <vt:lpwstr/>
  </property>
  <property fmtid="{D5CDD505-2E9C-101B-9397-08002B2CF9AE}" pid="36" name="Period end">
    <vt:lpwstr/>
  </property>
</Properties>
</file>