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3D5D" w14:textId="77777777" w:rsidR="00111740" w:rsidRDefault="00111740" w:rsidP="00900B4B">
      <w:pPr>
        <w:rPr>
          <w:b/>
        </w:rPr>
      </w:pPr>
      <w:bookmarkStart w:id="0" w:name="_GoBack"/>
      <w:bookmarkEnd w:id="0"/>
      <w:r>
        <w:rPr>
          <w:b/>
        </w:rPr>
        <w:t>Update:</w:t>
      </w:r>
      <w:r w:rsidR="00873C58">
        <w:rPr>
          <w:b/>
        </w:rPr>
        <w:t xml:space="preserve"> 2015</w:t>
      </w:r>
      <w:r>
        <w:rPr>
          <w:b/>
        </w:rPr>
        <w:t xml:space="preserve"> </w:t>
      </w:r>
      <w:r w:rsidR="00642CF3" w:rsidRPr="00642CF3">
        <w:rPr>
          <w:b/>
        </w:rPr>
        <w:t>International Conference</w:t>
      </w:r>
      <w:r w:rsidR="00642CF3">
        <w:rPr>
          <w:b/>
        </w:rPr>
        <w:t xml:space="preserve"> of the </w:t>
      </w:r>
      <w:r w:rsidR="00873C58">
        <w:rPr>
          <w:b/>
        </w:rPr>
        <w:t>Red Cross and Red Crescent</w:t>
      </w:r>
      <w:r w:rsidR="00642CF3" w:rsidRPr="00642CF3">
        <w:rPr>
          <w:b/>
        </w:rPr>
        <w:t xml:space="preserve"> Resolutions</w:t>
      </w:r>
    </w:p>
    <w:p w14:paraId="4243F2FF" w14:textId="77777777" w:rsidR="00385DB8" w:rsidRDefault="00D11EC5" w:rsidP="002B1D82">
      <w:pPr>
        <w:rPr>
          <w:b/>
        </w:rPr>
      </w:pPr>
      <w:r w:rsidRPr="00442603">
        <w:rPr>
          <w:b/>
        </w:rPr>
        <w:t>7</w:t>
      </w:r>
      <w:r w:rsidR="00873C58">
        <w:rPr>
          <w:b/>
        </w:rPr>
        <w:t xml:space="preserve">. </w:t>
      </w:r>
      <w:r w:rsidR="00D27999" w:rsidRPr="00442603">
        <w:rPr>
          <w:b/>
        </w:rPr>
        <w:t>Strengthening the International Red Cross and Red Cr</w:t>
      </w:r>
      <w:r w:rsidR="002A3718">
        <w:rPr>
          <w:b/>
        </w:rPr>
        <w:t xml:space="preserve">escent Movement response to growing humanitarian needs </w:t>
      </w:r>
      <w:r w:rsidR="00D27999" w:rsidRPr="00442603">
        <w:rPr>
          <w:b/>
        </w:rPr>
        <w:t xml:space="preserve"> </w:t>
      </w:r>
    </w:p>
    <w:p w14:paraId="1B73C3A3" w14:textId="0748B3C4" w:rsidR="00016218" w:rsidRDefault="002B1D82" w:rsidP="002B1D82">
      <w:pPr>
        <w:rPr>
          <w:b/>
          <w:i/>
        </w:rPr>
      </w:pPr>
      <w:r w:rsidRPr="00D966F5">
        <w:rPr>
          <w:b/>
          <w:i/>
        </w:rPr>
        <w:t>Update</w:t>
      </w:r>
    </w:p>
    <w:p w14:paraId="0B251DBB" w14:textId="69A0B5AD" w:rsidR="00E90EEC" w:rsidRDefault="00E90EEC" w:rsidP="002B1D82">
      <w:pPr>
        <w:rPr>
          <w:b/>
          <w:i/>
        </w:rPr>
      </w:pPr>
    </w:p>
    <w:p w14:paraId="5566A00A" w14:textId="2A5A0414" w:rsidR="00E90EEC" w:rsidRDefault="00E90EEC" w:rsidP="002B1D82">
      <w:pPr>
        <w:rPr>
          <w:b/>
          <w:i/>
        </w:rPr>
      </w:pPr>
      <w:r>
        <w:rPr>
          <w:b/>
          <w:i/>
        </w:rPr>
        <w:t xml:space="preserve">Key facts and figures: </w:t>
      </w:r>
    </w:p>
    <w:p w14:paraId="02F4A673" w14:textId="16D7F43C" w:rsidR="00E90EEC" w:rsidRPr="00E90EEC" w:rsidRDefault="00E90EEC" w:rsidP="00E90EEC">
      <w:pPr>
        <w:pStyle w:val="ListParagraph"/>
        <w:numPr>
          <w:ilvl w:val="0"/>
          <w:numId w:val="17"/>
        </w:numPr>
        <w:rPr>
          <w:b/>
          <w:bCs/>
        </w:rPr>
      </w:pPr>
      <w:r w:rsidRPr="00E90EEC">
        <w:rPr>
          <w:iCs/>
        </w:rPr>
        <w:t>The UK has</w:t>
      </w:r>
      <w:r>
        <w:t xml:space="preserve"> established a joint business case with the ICRC, IFRC and BRC which provides un-earmarked core funding for a period of 4 years between 2017-2021 to our partners. </w:t>
      </w:r>
    </w:p>
    <w:p w14:paraId="75C167A1" w14:textId="3299E937" w:rsidR="00E90EEC" w:rsidRPr="00E90EEC" w:rsidRDefault="00E90EEC" w:rsidP="00E90EEC">
      <w:pPr>
        <w:pStyle w:val="ListParagraph"/>
        <w:numPr>
          <w:ilvl w:val="0"/>
          <w:numId w:val="17"/>
        </w:numPr>
        <w:rPr>
          <w:b/>
          <w:bCs/>
        </w:rPr>
      </w:pPr>
      <w:r>
        <w:t>The UK have confirmed their place as IFRC DAG co-chair this year</w:t>
      </w:r>
    </w:p>
    <w:p w14:paraId="5A5B4A42" w14:textId="77777777" w:rsidR="00E90EEC" w:rsidRPr="00385DB8" w:rsidRDefault="00E90EEC" w:rsidP="002B1D82">
      <w:pPr>
        <w:rPr>
          <w:b/>
        </w:rPr>
      </w:pPr>
    </w:p>
    <w:p w14:paraId="43250A59" w14:textId="72083FC6" w:rsidR="00016218" w:rsidRPr="008806BB" w:rsidRDefault="00385DB8" w:rsidP="002B1D82">
      <w:pPr>
        <w:rPr>
          <w:b/>
          <w:i/>
        </w:rPr>
      </w:pPr>
      <w:r>
        <w:rPr>
          <w:b/>
          <w:i/>
        </w:rPr>
        <w:t>P</w:t>
      </w:r>
      <w:r w:rsidR="00016218" w:rsidRPr="008806BB">
        <w:rPr>
          <w:b/>
          <w:i/>
        </w:rPr>
        <w:t xml:space="preserve">roject </w:t>
      </w:r>
    </w:p>
    <w:p w14:paraId="5D44B29F" w14:textId="0D0BC02B" w:rsidR="00DA5CB5" w:rsidRDefault="00725ABB">
      <w:pPr>
        <w:rPr>
          <w:bCs/>
        </w:rPr>
      </w:pPr>
      <w:r>
        <w:rPr>
          <w:bCs/>
        </w:rPr>
        <w:t xml:space="preserve">The ICRC, IFRC and British RC have complimentary roles and </w:t>
      </w:r>
      <w:r w:rsidR="00DA5CB5">
        <w:rPr>
          <w:bCs/>
        </w:rPr>
        <w:t xml:space="preserve">through </w:t>
      </w:r>
      <w:r w:rsidR="00E90EEC">
        <w:rPr>
          <w:bCs/>
        </w:rPr>
        <w:t>funding,</w:t>
      </w:r>
      <w:r w:rsidR="00DA5CB5">
        <w:rPr>
          <w:bCs/>
        </w:rPr>
        <w:t xml:space="preserve"> we are encourag</w:t>
      </w:r>
      <w:r w:rsidR="006E6868">
        <w:rPr>
          <w:bCs/>
        </w:rPr>
        <w:t>ing</w:t>
      </w:r>
      <w:r w:rsidR="00DA5CB5">
        <w:rPr>
          <w:bCs/>
        </w:rPr>
        <w:t xml:space="preserve"> a more</w:t>
      </w:r>
      <w:r>
        <w:rPr>
          <w:bCs/>
        </w:rPr>
        <w:t xml:space="preserve"> collaborative Red Cross Movement</w:t>
      </w:r>
      <w:r w:rsidR="00DA5CB5">
        <w:rPr>
          <w:bCs/>
        </w:rPr>
        <w:t xml:space="preserve">, believing it </w:t>
      </w:r>
      <w:r>
        <w:rPr>
          <w:bCs/>
        </w:rPr>
        <w:t>can have an impact greater than the sum of its parts. UK funding suppor</w:t>
      </w:r>
      <w:r w:rsidR="00DA5CB5">
        <w:rPr>
          <w:bCs/>
        </w:rPr>
        <w:t>ts</w:t>
      </w:r>
      <w:r>
        <w:rPr>
          <w:bCs/>
        </w:rPr>
        <w:t xml:space="preserve"> deeper collaboration between the three organisations and help</w:t>
      </w:r>
      <w:r w:rsidR="006E6868">
        <w:rPr>
          <w:bCs/>
        </w:rPr>
        <w:t>s</w:t>
      </w:r>
      <w:r>
        <w:rPr>
          <w:bCs/>
        </w:rPr>
        <w:t xml:space="preserve"> to build the capacity of National Societies other than the British RC</w:t>
      </w:r>
      <w:r w:rsidR="00DA5CB5">
        <w:rPr>
          <w:bCs/>
        </w:rPr>
        <w:t xml:space="preserve">. </w:t>
      </w:r>
    </w:p>
    <w:p w14:paraId="2F855CB2" w14:textId="77777777" w:rsidR="00725ABB" w:rsidRDefault="00DA5CB5">
      <w:pPr>
        <w:rPr>
          <w:bCs/>
        </w:rPr>
      </w:pPr>
      <w:r>
        <w:rPr>
          <w:bCs/>
        </w:rPr>
        <w:t>The following indicators in our Results Framework were designed to help deliver on this priority area:</w:t>
      </w:r>
    </w:p>
    <w:p w14:paraId="2A41F7D3" w14:textId="77777777" w:rsidR="003A05EB" w:rsidRDefault="003A05EB" w:rsidP="003A05EB">
      <w:pPr>
        <w:pStyle w:val="ListParagraph"/>
        <w:numPr>
          <w:ilvl w:val="0"/>
          <w:numId w:val="10"/>
        </w:numPr>
      </w:pPr>
      <w:r>
        <w:t xml:space="preserve">(IFRC and ICRC) </w:t>
      </w:r>
      <w:r w:rsidR="00DA5CB5" w:rsidRPr="00C4364F">
        <w:t xml:space="preserve">1.1. </w:t>
      </w:r>
      <w:r>
        <w:t xml:space="preserve">To </w:t>
      </w:r>
      <w:r w:rsidR="00DA5CB5" w:rsidRPr="00C4364F">
        <w:t xml:space="preserve">respond more effectively, swiftly and flexibly, through stronger Movement coordination, to those in need of impartial humanitarian assistance and protection </w:t>
      </w:r>
      <w:r>
        <w:t>t</w:t>
      </w:r>
      <w:r w:rsidR="00DA5CB5" w:rsidRPr="00C4364F">
        <w:t>hrough</w:t>
      </w:r>
      <w:r>
        <w:t>:</w:t>
      </w:r>
    </w:p>
    <w:p w14:paraId="3FCD275A" w14:textId="77777777" w:rsidR="00C4364F" w:rsidRDefault="00C4364F" w:rsidP="003A05EB">
      <w:pPr>
        <w:pStyle w:val="ListParagraph"/>
        <w:numPr>
          <w:ilvl w:val="0"/>
          <w:numId w:val="11"/>
        </w:numPr>
      </w:pPr>
      <w:r w:rsidRPr="00C4364F">
        <w:t>monitoring the % of locations holding</w:t>
      </w:r>
      <w:r w:rsidR="00DA5CB5" w:rsidRPr="00C4364F">
        <w:t xml:space="preserve"> joint mini-summits in new large-scale </w:t>
      </w:r>
      <w:r w:rsidRPr="00C4364F">
        <w:t xml:space="preserve">emergencies and </w:t>
      </w:r>
      <w:r w:rsidR="003A05EB">
        <w:t xml:space="preserve">trialling the </w:t>
      </w:r>
      <w:r w:rsidRPr="00C4364F">
        <w:t xml:space="preserve">deployment of joint Movement Coordination Officer with a mandate to serve the common interest of the Movement. </w:t>
      </w:r>
    </w:p>
    <w:p w14:paraId="3C6B8F66" w14:textId="77777777" w:rsidR="003A05EB" w:rsidRPr="00C4364F" w:rsidRDefault="003A05EB" w:rsidP="003A05EB">
      <w:pPr>
        <w:pStyle w:val="ListParagraph"/>
        <w:ind w:left="1495"/>
      </w:pPr>
    </w:p>
    <w:p w14:paraId="0568FE85" w14:textId="77777777" w:rsidR="003A05EB" w:rsidRPr="003A05EB" w:rsidRDefault="003A05EB" w:rsidP="00C4364F">
      <w:pPr>
        <w:pStyle w:val="ListParagraph"/>
        <w:numPr>
          <w:ilvl w:val="0"/>
          <w:numId w:val="10"/>
        </w:numPr>
      </w:pPr>
      <w:r w:rsidRPr="003A05EB">
        <w:t xml:space="preserve">(IFRC and ICRC) </w:t>
      </w:r>
      <w:r w:rsidR="00C4364F" w:rsidRPr="003A05EB">
        <w:t>1.2</w:t>
      </w:r>
      <w:r w:rsidRPr="003A05EB">
        <w:t>.</w:t>
      </w:r>
      <w:r w:rsidR="00C4364F" w:rsidRPr="003A05EB">
        <w:t xml:space="preserve"> Improving the capacity and preparedness of NS</w:t>
      </w:r>
      <w:r w:rsidRPr="003A05EB">
        <w:t>’s</w:t>
      </w:r>
      <w:r w:rsidR="00C4364F" w:rsidRPr="003A05EB">
        <w:t xml:space="preserve"> to assist vulnerable people in their own countries through improved management, leadership and programme delivery in high risk and FCAS countries through</w:t>
      </w:r>
      <w:r w:rsidRPr="003A05EB">
        <w:t>:</w:t>
      </w:r>
    </w:p>
    <w:p w14:paraId="27F8EC37" w14:textId="77777777" w:rsidR="003A05EB" w:rsidRPr="003A05EB" w:rsidRDefault="003A05EB" w:rsidP="003A05EB">
      <w:pPr>
        <w:pStyle w:val="ListParagraph"/>
        <w:numPr>
          <w:ilvl w:val="0"/>
          <w:numId w:val="11"/>
        </w:numPr>
      </w:pPr>
      <w:r w:rsidRPr="003A05EB">
        <w:t>M</w:t>
      </w:r>
      <w:r w:rsidR="00C4364F" w:rsidRPr="003A05EB">
        <w:t xml:space="preserve">onitoring the number of priority contexts where Capacity Building of the Host NS sees alignment and joint approach between the Movement </w:t>
      </w:r>
      <w:r w:rsidRPr="003A05EB">
        <w:t>partners</w:t>
      </w:r>
      <w:r w:rsidR="00C4364F" w:rsidRPr="003A05EB">
        <w:t xml:space="preserve"> through integration of the Movement country plan and</w:t>
      </w:r>
      <w:r w:rsidRPr="003A05EB">
        <w:t>,</w:t>
      </w:r>
    </w:p>
    <w:p w14:paraId="138AC0CA" w14:textId="77777777" w:rsidR="00C4364F" w:rsidRDefault="00C4364F" w:rsidP="003A05EB">
      <w:pPr>
        <w:pStyle w:val="ListParagraph"/>
        <w:numPr>
          <w:ilvl w:val="0"/>
          <w:numId w:val="11"/>
        </w:numPr>
      </w:pPr>
      <w:r w:rsidRPr="003A05EB">
        <w:t>IFRC supports National Soci</w:t>
      </w:r>
      <w:r w:rsidR="00063074" w:rsidRPr="003A05EB">
        <w:t xml:space="preserve">eties to improve their capacities to assess, prioritise and plan for disaster preparedness, </w:t>
      </w:r>
      <w:r w:rsidR="003A05EB" w:rsidRPr="003A05EB">
        <w:t>using</w:t>
      </w:r>
      <w:r w:rsidR="00063074" w:rsidRPr="003A05EB">
        <w:t xml:space="preserve"> risk analysis tools (IFRC with NS’s)</w:t>
      </w:r>
    </w:p>
    <w:p w14:paraId="4D12D1CF" w14:textId="77777777" w:rsidR="003A05EB" w:rsidRDefault="003A05EB" w:rsidP="003A05EB"/>
    <w:p w14:paraId="6607D687" w14:textId="77777777" w:rsidR="003A05EB" w:rsidRPr="003A05EB" w:rsidRDefault="003A05EB" w:rsidP="003A05EB">
      <w:r>
        <w:t>All of these sub-output and indicators continue to make good progress through the joint business case.</w:t>
      </w:r>
    </w:p>
    <w:p w14:paraId="55BDDB33" w14:textId="77777777" w:rsidR="00C4364F" w:rsidRPr="00C4364F" w:rsidRDefault="00C4364F" w:rsidP="00C4364F">
      <w:pPr>
        <w:pStyle w:val="ListParagraph"/>
        <w:rPr>
          <w:b/>
        </w:rPr>
      </w:pPr>
    </w:p>
    <w:p w14:paraId="6F8F0B6A" w14:textId="77777777" w:rsidR="00E8511B" w:rsidRPr="00AB292E" w:rsidRDefault="003514A7">
      <w:pPr>
        <w:rPr>
          <w:b/>
          <w:i/>
        </w:rPr>
      </w:pPr>
      <w:r>
        <w:rPr>
          <w:b/>
          <w:i/>
        </w:rPr>
        <w:t>Policy/</w:t>
      </w:r>
      <w:r w:rsidR="008806BB" w:rsidRPr="008806BB">
        <w:rPr>
          <w:b/>
          <w:i/>
        </w:rPr>
        <w:t xml:space="preserve">forward look </w:t>
      </w:r>
    </w:p>
    <w:p w14:paraId="5DB5E42E" w14:textId="77777777" w:rsidR="00AB292E" w:rsidRPr="00AB292E" w:rsidRDefault="00AB292E">
      <w:pPr>
        <w:rPr>
          <w:b/>
        </w:rPr>
      </w:pPr>
      <w:r w:rsidRPr="00AB292E">
        <w:rPr>
          <w:b/>
        </w:rPr>
        <w:t>Joint Appeals</w:t>
      </w:r>
    </w:p>
    <w:p w14:paraId="25FFB086" w14:textId="77777777" w:rsidR="00AB292E" w:rsidRPr="00AB292E" w:rsidRDefault="149D00F9">
      <w:r>
        <w:t xml:space="preserve">The UK welcomes the progress being made in the establishment of joint Movement-wide emergency appeals. </w:t>
      </w:r>
    </w:p>
    <w:p w14:paraId="5D23C92A" w14:textId="77777777" w:rsidR="00E8511B" w:rsidRDefault="00E8511B">
      <w:r w:rsidRPr="00AB292E">
        <w:lastRenderedPageBreak/>
        <w:t xml:space="preserve">In emergencies where both IFRC and ICRC are active, there may be a decision to launch a joint appeal. This agreement between ICRC and IFRC means that, in practice, wherever possible in large-scale emergencies, that organisations would aim to release only one international appeal. </w:t>
      </w:r>
    </w:p>
    <w:p w14:paraId="40E92AD9" w14:textId="77777777" w:rsidR="00AB292E" w:rsidRPr="00AB292E" w:rsidRDefault="00AB292E">
      <w:r w:rsidRPr="00AB292E">
        <w:t xml:space="preserve">In September 2016 ICRC and IFRC developed and signed a Funding Modality Agreement for use in large-scale emergencies. in 2017, 4 joint appeals </w:t>
      </w:r>
      <w:r>
        <w:t>were</w:t>
      </w:r>
      <w:r w:rsidRPr="00AB292E">
        <w:t xml:space="preserve"> launched, in each of these appeals the ICRC, IFRC and the National Society work</w:t>
      </w:r>
      <w:r>
        <w:t>ed</w:t>
      </w:r>
      <w:r w:rsidRPr="00AB292E">
        <w:t xml:space="preserve"> closely together in a coordinated approach. </w:t>
      </w:r>
    </w:p>
    <w:p w14:paraId="4C1D9176" w14:textId="77777777" w:rsidR="00AB292E" w:rsidRDefault="00E8511B">
      <w:r w:rsidRPr="00AB292E">
        <w:t xml:space="preserve">Through efficient resource mobilisation built on </w:t>
      </w:r>
      <w:r w:rsidR="00AB292E" w:rsidRPr="00AB292E">
        <w:t>complementarity</w:t>
      </w:r>
      <w:r w:rsidRPr="00AB292E">
        <w:t xml:space="preserve"> and internal non-</w:t>
      </w:r>
      <w:r w:rsidR="00AB292E" w:rsidRPr="00AB292E">
        <w:t>competition</w:t>
      </w:r>
      <w:r w:rsidRPr="00AB292E">
        <w:t xml:space="preserve">, the Movement would increase the impact of its overall response. </w:t>
      </w:r>
    </w:p>
    <w:p w14:paraId="25623269" w14:textId="77777777" w:rsidR="00AB292E" w:rsidRPr="00AB292E" w:rsidRDefault="149D00F9" w:rsidP="149D00F9">
      <w:r w:rsidRPr="149D00F9">
        <w:t>We are keen to look for further progress in this area, including looking at how the UK can support the broader movement to maximise its impact, including roles IFRC, ICRC and partner national societies can play collaboratively in protracted crises?</w:t>
      </w:r>
    </w:p>
    <w:p w14:paraId="4334B81E" w14:textId="77777777" w:rsidR="00B72C14" w:rsidRPr="00AB292E" w:rsidRDefault="00B72C14">
      <w:pPr>
        <w:rPr>
          <w:b/>
        </w:rPr>
      </w:pPr>
      <w:r w:rsidRPr="00AB292E">
        <w:rPr>
          <w:b/>
        </w:rPr>
        <w:t>DAG co-chair</w:t>
      </w:r>
    </w:p>
    <w:p w14:paraId="588825CC" w14:textId="77777777" w:rsidR="00776B50" w:rsidRDefault="00031ED0" w:rsidP="00A32621">
      <w:pPr>
        <w:pStyle w:val="ListParagraph"/>
        <w:jc w:val="both"/>
      </w:pPr>
      <w:r w:rsidRPr="00A32621">
        <w:rPr>
          <w:b/>
          <w:i/>
        </w:rPr>
        <w:t>The UK have confirmed their place as IFRC DAG co-chair in 2019</w:t>
      </w:r>
      <w:r w:rsidR="00A32621" w:rsidRPr="00A32621">
        <w:t>. O</w:t>
      </w:r>
      <w:r w:rsidR="003514A7" w:rsidRPr="00A32621">
        <w:t>ur objectives</w:t>
      </w:r>
      <w:r w:rsidR="00A32621" w:rsidRPr="00A32621">
        <w:t xml:space="preserve"> include</w:t>
      </w:r>
      <w:r w:rsidR="00A32621" w:rsidRPr="00A32621">
        <w:rPr>
          <w:b/>
          <w:i/>
        </w:rPr>
        <w:t xml:space="preserve"> </w:t>
      </w:r>
      <w:r w:rsidR="00A32621" w:rsidRPr="00A32621">
        <w:rPr>
          <w:i/>
        </w:rPr>
        <w:t>engagin</w:t>
      </w:r>
      <w:r w:rsidR="00A32621" w:rsidRPr="00A32621">
        <w:t>g</w:t>
      </w:r>
      <w:r w:rsidR="00A32621" w:rsidRPr="00A32621">
        <w:rPr>
          <w:b/>
        </w:rPr>
        <w:t xml:space="preserve"> a</w:t>
      </w:r>
      <w:r w:rsidR="00776B50" w:rsidRPr="00A32621" w:rsidDel="00084FAF">
        <w:rPr>
          <w:b/>
        </w:rPr>
        <w:t xml:space="preserve"> broader group of donors</w:t>
      </w:r>
      <w:r w:rsidR="00776B50" w:rsidDel="00084FAF">
        <w:t xml:space="preserve"> who work with IFRC to look at how we could best work together </w:t>
      </w:r>
      <w:r w:rsidR="00B72C14">
        <w:t xml:space="preserve">to support IFRC in its core remit of </w:t>
      </w:r>
      <w:r w:rsidR="00B72C14" w:rsidRPr="0064211B">
        <w:rPr>
          <w:b/>
        </w:rPr>
        <w:t>strengthening capacity of national societies and coordinating the Movement’s work</w:t>
      </w:r>
      <w:r w:rsidR="00B72C14">
        <w:t>, including how this could be measured and what the baseline is.</w:t>
      </w:r>
    </w:p>
    <w:p w14:paraId="7A1EE736" w14:textId="77777777" w:rsidR="00776B50" w:rsidRDefault="00776B50" w:rsidP="00776B50">
      <w:pPr>
        <w:pStyle w:val="ListParagraph"/>
        <w:jc w:val="both"/>
      </w:pPr>
    </w:p>
    <w:p w14:paraId="0E98F63C" w14:textId="77777777" w:rsidR="00B72C14" w:rsidRPr="00B72C14" w:rsidRDefault="00B72C14" w:rsidP="00B72C14">
      <w:pPr>
        <w:jc w:val="both"/>
        <w:rPr>
          <w:b/>
        </w:rPr>
      </w:pPr>
      <w:r>
        <w:rPr>
          <w:b/>
        </w:rPr>
        <w:t>T</w:t>
      </w:r>
      <w:r w:rsidR="00776B50" w:rsidRPr="00AB292E">
        <w:rPr>
          <w:b/>
        </w:rPr>
        <w:t>hematic/ policy priorities</w:t>
      </w:r>
    </w:p>
    <w:p w14:paraId="1D2B19C4" w14:textId="77777777" w:rsidR="00430159" w:rsidRDefault="00B72C14" w:rsidP="00AB292E">
      <w:pPr>
        <w:jc w:val="both"/>
      </w:pPr>
      <w:r w:rsidRPr="00B72C14">
        <w:t>Through our</w:t>
      </w:r>
      <w:r w:rsidR="008E59D7">
        <w:t xml:space="preserve"> joint business case (2017-2021) </w:t>
      </w:r>
      <w:r>
        <w:t xml:space="preserve">we continue to </w:t>
      </w:r>
      <w:r w:rsidR="008E59D7">
        <w:t>encourage</w:t>
      </w:r>
      <w:r>
        <w:t xml:space="preserve"> the Red Cross Movement </w:t>
      </w:r>
      <w:r w:rsidR="00430159">
        <w:t xml:space="preserve">(ICRC, IFRC and BRC) </w:t>
      </w:r>
      <w:r>
        <w:t>to work together on important policy priorities such as</w:t>
      </w:r>
      <w:r w:rsidR="00AB292E">
        <w:t>;</w:t>
      </w:r>
    </w:p>
    <w:p w14:paraId="19883000" w14:textId="77777777" w:rsidR="00B72C14" w:rsidRDefault="00430159" w:rsidP="00430159">
      <w:pPr>
        <w:pStyle w:val="ListParagraph"/>
        <w:numPr>
          <w:ilvl w:val="0"/>
          <w:numId w:val="10"/>
        </w:numPr>
        <w:jc w:val="both"/>
      </w:pPr>
      <w:r w:rsidRPr="00AB292E">
        <w:rPr>
          <w:b/>
        </w:rPr>
        <w:t>Output 2.4- Cash</w:t>
      </w:r>
      <w:r w:rsidR="00B72C14" w:rsidRPr="00AB292E">
        <w:rPr>
          <w:b/>
        </w:rPr>
        <w:t>;</w:t>
      </w:r>
      <w:r w:rsidR="00B72C14">
        <w:t xml:space="preserve"> </w:t>
      </w:r>
      <w:r w:rsidR="00AB292E">
        <w:t>encouraging ICRC and IFRC to allocate a higher</w:t>
      </w:r>
      <w:r w:rsidR="00B72C14">
        <w:t xml:space="preserve"> % of their budget to cash transfer programming </w:t>
      </w:r>
      <w:r w:rsidR="008E59D7">
        <w:t>and</w:t>
      </w:r>
      <w:r w:rsidR="00AB292E">
        <w:t xml:space="preserve"> encouraging IFRC to work with</w:t>
      </w:r>
      <w:r w:rsidR="008E59D7">
        <w:t xml:space="preserve"> NS’s, ensuring </w:t>
      </w:r>
      <w:r w:rsidR="00AB292E">
        <w:t xml:space="preserve">a higher number of </w:t>
      </w:r>
      <w:r>
        <w:t xml:space="preserve">targeted National </w:t>
      </w:r>
      <w:r w:rsidR="00AB292E">
        <w:t>Societies will</w:t>
      </w:r>
      <w:r>
        <w:t xml:space="preserve"> be </w:t>
      </w:r>
      <w:r w:rsidR="00AB292E">
        <w:t>operationally</w:t>
      </w:r>
      <w:r>
        <w:t xml:space="preserve"> ready to deliver cash</w:t>
      </w:r>
      <w:r w:rsidR="008E59D7">
        <w:t xml:space="preserve"> by the end of the business case</w:t>
      </w:r>
      <w:r>
        <w:t xml:space="preserve">. </w:t>
      </w:r>
    </w:p>
    <w:p w14:paraId="18A62188" w14:textId="77777777" w:rsidR="00430159" w:rsidRDefault="00430159" w:rsidP="00430159">
      <w:pPr>
        <w:pStyle w:val="ListParagraph"/>
        <w:numPr>
          <w:ilvl w:val="0"/>
          <w:numId w:val="10"/>
        </w:numPr>
        <w:jc w:val="both"/>
      </w:pPr>
      <w:r w:rsidRPr="00AB292E">
        <w:rPr>
          <w:b/>
        </w:rPr>
        <w:t>Output 2.5- CEA;</w:t>
      </w:r>
      <w:r>
        <w:t xml:space="preserve"> our RF also drives an indicator which seeks to develop a Movement-wide Community Engagement and Accountability (CEA) approach by ICRC and IFRC. There are also separate indicators for ICRC to </w:t>
      </w:r>
      <w:r w:rsidR="008E59D7">
        <w:t xml:space="preserve">continue to </w:t>
      </w:r>
      <w:r>
        <w:t>demonstrate how it involve affected people in their program</w:t>
      </w:r>
      <w:r w:rsidR="008E59D7">
        <w:t>ming.</w:t>
      </w:r>
    </w:p>
    <w:p w14:paraId="3861145B" w14:textId="77777777" w:rsidR="00430159" w:rsidRDefault="00430159" w:rsidP="00430159">
      <w:pPr>
        <w:pStyle w:val="ListParagraph"/>
        <w:numPr>
          <w:ilvl w:val="0"/>
          <w:numId w:val="10"/>
        </w:numPr>
        <w:jc w:val="both"/>
      </w:pPr>
      <w:r>
        <w:t>Another indicator within this output encourages IFRC to work with NS’s to develop their own CEA components</w:t>
      </w:r>
      <w:r w:rsidR="008E59D7">
        <w:t xml:space="preserve"> for implementation. </w:t>
      </w:r>
    </w:p>
    <w:p w14:paraId="7F56B881" w14:textId="77777777" w:rsidR="00430159" w:rsidRDefault="00430159" w:rsidP="00B72C14">
      <w:pPr>
        <w:pStyle w:val="ListParagraph"/>
        <w:jc w:val="both"/>
      </w:pPr>
    </w:p>
    <w:p w14:paraId="3CF117B6" w14:textId="77777777" w:rsidR="00430159" w:rsidRPr="00B72C14" w:rsidRDefault="00430159" w:rsidP="00B72C14">
      <w:pPr>
        <w:pStyle w:val="ListParagraph"/>
        <w:jc w:val="both"/>
      </w:pPr>
    </w:p>
    <w:p w14:paraId="08277BDC" w14:textId="77777777" w:rsidR="00776B50" w:rsidRDefault="00776B50" w:rsidP="00776B50">
      <w:pPr>
        <w:spacing w:after="0" w:line="240" w:lineRule="auto"/>
        <w:jc w:val="both"/>
      </w:pPr>
    </w:p>
    <w:p w14:paraId="6DC7591F" w14:textId="77777777" w:rsidR="00776B50" w:rsidRPr="00344EA7" w:rsidRDefault="00776B50" w:rsidP="00776B50">
      <w:pPr>
        <w:pStyle w:val="ListParagraph"/>
        <w:jc w:val="both"/>
      </w:pPr>
    </w:p>
    <w:p w14:paraId="13B2EEEE" w14:textId="77777777" w:rsidR="00776B50" w:rsidRDefault="00776B50" w:rsidP="00776B50">
      <w:pPr>
        <w:spacing w:after="0" w:line="240" w:lineRule="auto"/>
        <w:jc w:val="both"/>
      </w:pPr>
    </w:p>
    <w:p w14:paraId="5284CCE5" w14:textId="77777777" w:rsidR="00776B50" w:rsidRPr="00CD1688" w:rsidRDefault="00776B50" w:rsidP="00776B50">
      <w:pPr>
        <w:pStyle w:val="ListParagraph"/>
        <w:rPr>
          <w:iCs/>
          <w:color w:val="000000" w:themeColor="text1"/>
        </w:rPr>
      </w:pPr>
    </w:p>
    <w:p w14:paraId="4BB53C04" w14:textId="77777777" w:rsidR="00776B50" w:rsidRDefault="00776B50" w:rsidP="00776B50">
      <w:pPr>
        <w:spacing w:after="0" w:line="240" w:lineRule="auto"/>
        <w:jc w:val="both"/>
      </w:pPr>
    </w:p>
    <w:p w14:paraId="02CC4298" w14:textId="77777777" w:rsidR="00800502" w:rsidRDefault="00800502">
      <w:pPr>
        <w:rPr>
          <w:b/>
          <w:i/>
        </w:rPr>
      </w:pPr>
    </w:p>
    <w:p w14:paraId="71236C3A" w14:textId="77777777" w:rsidR="00800502" w:rsidRPr="00031ED0" w:rsidRDefault="00800502">
      <w:pPr>
        <w:rPr>
          <w:b/>
          <w:i/>
        </w:rPr>
      </w:pPr>
    </w:p>
    <w:sectPr w:rsidR="00800502" w:rsidRPr="00031E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60C4" w14:textId="77777777" w:rsidR="007E0D64" w:rsidRDefault="007E0D64" w:rsidP="00776B50">
      <w:pPr>
        <w:spacing w:after="0" w:line="240" w:lineRule="auto"/>
      </w:pPr>
      <w:r>
        <w:separator/>
      </w:r>
    </w:p>
  </w:endnote>
  <w:endnote w:type="continuationSeparator" w:id="0">
    <w:p w14:paraId="1E6D124E" w14:textId="77777777" w:rsidR="007E0D64" w:rsidRDefault="007E0D64" w:rsidP="0077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3582" w14:textId="77777777" w:rsidR="007E0D64" w:rsidRDefault="007E0D64" w:rsidP="00776B50">
      <w:pPr>
        <w:spacing w:after="0" w:line="240" w:lineRule="auto"/>
      </w:pPr>
      <w:r>
        <w:separator/>
      </w:r>
    </w:p>
  </w:footnote>
  <w:footnote w:type="continuationSeparator" w:id="0">
    <w:p w14:paraId="1A0D2FF4" w14:textId="77777777" w:rsidR="007E0D64" w:rsidRDefault="007E0D64" w:rsidP="00776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DFA"/>
    <w:multiLevelType w:val="hybridMultilevel"/>
    <w:tmpl w:val="86E6B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36E85"/>
    <w:multiLevelType w:val="hybridMultilevel"/>
    <w:tmpl w:val="5E10E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455CA"/>
    <w:multiLevelType w:val="hybridMultilevel"/>
    <w:tmpl w:val="C65E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60AA"/>
    <w:multiLevelType w:val="hybridMultilevel"/>
    <w:tmpl w:val="6D98CC60"/>
    <w:lvl w:ilvl="0" w:tplc="B774740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447A2"/>
    <w:multiLevelType w:val="hybridMultilevel"/>
    <w:tmpl w:val="B2DC5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42CDC"/>
    <w:multiLevelType w:val="hybridMultilevel"/>
    <w:tmpl w:val="766C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32CD2"/>
    <w:multiLevelType w:val="hybridMultilevel"/>
    <w:tmpl w:val="40F8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13B7E"/>
    <w:multiLevelType w:val="hybridMultilevel"/>
    <w:tmpl w:val="48565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300D3"/>
    <w:multiLevelType w:val="hybridMultilevel"/>
    <w:tmpl w:val="7CB6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D12"/>
    <w:multiLevelType w:val="hybridMultilevel"/>
    <w:tmpl w:val="5E10E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045C22"/>
    <w:multiLevelType w:val="hybridMultilevel"/>
    <w:tmpl w:val="78E6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B7712"/>
    <w:multiLevelType w:val="multilevel"/>
    <w:tmpl w:val="9C3AF04E"/>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56402D24"/>
    <w:multiLevelType w:val="hybridMultilevel"/>
    <w:tmpl w:val="FFDEB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FB2DFA"/>
    <w:multiLevelType w:val="hybridMultilevel"/>
    <w:tmpl w:val="B8FAD3F4"/>
    <w:lvl w:ilvl="0" w:tplc="94F64F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84D18"/>
    <w:multiLevelType w:val="hybridMultilevel"/>
    <w:tmpl w:val="727CA384"/>
    <w:lvl w:ilvl="0" w:tplc="5890EA64">
      <w:start w:val="1"/>
      <w:numFmt w:val="decimal"/>
      <w:lvlText w:val="%1."/>
      <w:lvlJc w:val="left"/>
      <w:pPr>
        <w:ind w:left="360" w:hanging="360"/>
      </w:pPr>
      <w:rPr>
        <w:rFonts w:hint="default"/>
        <w:b w:val="0"/>
        <w:i w:val="0"/>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086C31"/>
    <w:multiLevelType w:val="hybridMultilevel"/>
    <w:tmpl w:val="3C4EFE1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6" w15:restartNumberingAfterBreak="0">
    <w:nsid w:val="6B323773"/>
    <w:multiLevelType w:val="hybridMultilevel"/>
    <w:tmpl w:val="0148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6"/>
  </w:num>
  <w:num w:numId="5">
    <w:abstractNumId w:val="5"/>
  </w:num>
  <w:num w:numId="6">
    <w:abstractNumId w:val="16"/>
  </w:num>
  <w:num w:numId="7">
    <w:abstractNumId w:val="8"/>
  </w:num>
  <w:num w:numId="8">
    <w:abstractNumId w:val="14"/>
  </w:num>
  <w:num w:numId="9">
    <w:abstractNumId w:val="13"/>
  </w:num>
  <w:num w:numId="10">
    <w:abstractNumId w:val="3"/>
  </w:num>
  <w:num w:numId="11">
    <w:abstractNumId w:val="15"/>
  </w:num>
  <w:num w:numId="12">
    <w:abstractNumId w:val="4"/>
  </w:num>
  <w:num w:numId="13">
    <w:abstractNumId w:val="7"/>
  </w:num>
  <w:num w:numId="14">
    <w:abstractNumId w:val="1"/>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99"/>
    <w:rsid w:val="00016218"/>
    <w:rsid w:val="00031ED0"/>
    <w:rsid w:val="00063074"/>
    <w:rsid w:val="00111740"/>
    <w:rsid w:val="002A3718"/>
    <w:rsid w:val="002B1D82"/>
    <w:rsid w:val="003514A7"/>
    <w:rsid w:val="00385DB8"/>
    <w:rsid w:val="003A05EB"/>
    <w:rsid w:val="00430159"/>
    <w:rsid w:val="00442603"/>
    <w:rsid w:val="005A5DF7"/>
    <w:rsid w:val="00642CF3"/>
    <w:rsid w:val="006E6868"/>
    <w:rsid w:val="00725ABB"/>
    <w:rsid w:val="00776B50"/>
    <w:rsid w:val="007A32D9"/>
    <w:rsid w:val="007B371F"/>
    <w:rsid w:val="007E0D64"/>
    <w:rsid w:val="00800502"/>
    <w:rsid w:val="00873C58"/>
    <w:rsid w:val="008806BB"/>
    <w:rsid w:val="008E59D7"/>
    <w:rsid w:val="00900B4B"/>
    <w:rsid w:val="00901296"/>
    <w:rsid w:val="00A32621"/>
    <w:rsid w:val="00AB292E"/>
    <w:rsid w:val="00B72C14"/>
    <w:rsid w:val="00B870E9"/>
    <w:rsid w:val="00C007A7"/>
    <w:rsid w:val="00C112D7"/>
    <w:rsid w:val="00C4364F"/>
    <w:rsid w:val="00D11EC5"/>
    <w:rsid w:val="00D27999"/>
    <w:rsid w:val="00D7687A"/>
    <w:rsid w:val="00D966F5"/>
    <w:rsid w:val="00DA5CB5"/>
    <w:rsid w:val="00E8511B"/>
    <w:rsid w:val="00E90EEC"/>
    <w:rsid w:val="00EB3DD6"/>
    <w:rsid w:val="00F70D54"/>
    <w:rsid w:val="149D00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2F6"/>
  <w15:chartTrackingRefBased/>
  <w15:docId w15:val="{2D32BEF6-099E-41D9-8A48-2CFA1D8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603"/>
    <w:pPr>
      <w:keepNext/>
      <w:spacing w:before="240" w:after="60" w:line="240" w:lineRule="auto"/>
      <w:outlineLvl w:val="0"/>
    </w:pPr>
    <w:rPr>
      <w:rFonts w:ascii="Helvetica" w:eastAsia="Times New Roman" w:hAnsi="Helvetica" w:cs="Times New Roman"/>
      <w:b/>
      <w:kern w:val="32"/>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03"/>
    <w:rPr>
      <w:rFonts w:ascii="Helvetica" w:eastAsia="Times New Roman" w:hAnsi="Helvetica" w:cs="Times New Roman"/>
      <w:b/>
      <w:kern w:val="32"/>
      <w:sz w:val="32"/>
      <w:szCs w:val="20"/>
      <w:lang w:eastAsia="en-GB"/>
    </w:rPr>
  </w:style>
  <w:style w:type="paragraph" w:styleId="ListParagraph">
    <w:name w:val="List Paragraph"/>
    <w:aliases w:val="Dot pt,Colorful List - Accent 11,No Spacing1,List Paragraph Char Char Char,Indicator Text,Numbered Para 1,Bullet 1,F5 List Paragraph,List Paragraph1,Bullet Points,List Paragraph2,MAIN CONTENT,List Paragraph12,OBC Bullet,List Paragraph11,L"/>
    <w:basedOn w:val="Normal"/>
    <w:link w:val="ListParagraphChar"/>
    <w:uiPriority w:val="34"/>
    <w:qFormat/>
    <w:rsid w:val="00442603"/>
    <w:pPr>
      <w:spacing w:after="0" w:line="240" w:lineRule="auto"/>
      <w:ind w:left="720"/>
      <w:contextualSpacing/>
    </w:pPr>
    <w:rPr>
      <w:rFonts w:ascii="Calibri" w:hAnsi="Calibri" w:cs="Calibri"/>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List Paragraph2 Char"/>
    <w:basedOn w:val="DefaultParagraphFont"/>
    <w:link w:val="ListParagraph"/>
    <w:uiPriority w:val="34"/>
    <w:qFormat/>
    <w:locked/>
    <w:rsid w:val="00442603"/>
    <w:rPr>
      <w:rFonts w:ascii="Calibri" w:hAnsi="Calibri" w:cs="Calibri"/>
    </w:rPr>
  </w:style>
  <w:style w:type="character" w:styleId="Hyperlink">
    <w:name w:val="Hyperlink"/>
    <w:basedOn w:val="DefaultParagraphFont"/>
    <w:uiPriority w:val="99"/>
    <w:unhideWhenUsed/>
    <w:rsid w:val="00442603"/>
    <w:rPr>
      <w:color w:val="0563C1" w:themeColor="hyperlink"/>
      <w:u w:val="single"/>
    </w:rPr>
  </w:style>
  <w:style w:type="character" w:styleId="CommentReference">
    <w:name w:val="annotation reference"/>
    <w:basedOn w:val="DefaultParagraphFont"/>
    <w:uiPriority w:val="99"/>
    <w:semiHidden/>
    <w:unhideWhenUsed/>
    <w:rsid w:val="003A05EB"/>
    <w:rPr>
      <w:sz w:val="16"/>
      <w:szCs w:val="16"/>
    </w:rPr>
  </w:style>
  <w:style w:type="paragraph" w:styleId="CommentText">
    <w:name w:val="annotation text"/>
    <w:basedOn w:val="Normal"/>
    <w:link w:val="CommentTextChar"/>
    <w:uiPriority w:val="99"/>
    <w:semiHidden/>
    <w:unhideWhenUsed/>
    <w:rsid w:val="003A05EB"/>
    <w:pPr>
      <w:spacing w:line="240" w:lineRule="auto"/>
    </w:pPr>
    <w:rPr>
      <w:sz w:val="20"/>
      <w:szCs w:val="20"/>
    </w:rPr>
  </w:style>
  <w:style w:type="character" w:customStyle="1" w:styleId="CommentTextChar">
    <w:name w:val="Comment Text Char"/>
    <w:basedOn w:val="DefaultParagraphFont"/>
    <w:link w:val="CommentText"/>
    <w:uiPriority w:val="99"/>
    <w:semiHidden/>
    <w:rsid w:val="003A05EB"/>
    <w:rPr>
      <w:sz w:val="20"/>
      <w:szCs w:val="20"/>
    </w:rPr>
  </w:style>
  <w:style w:type="paragraph" w:styleId="CommentSubject">
    <w:name w:val="annotation subject"/>
    <w:basedOn w:val="CommentText"/>
    <w:next w:val="CommentText"/>
    <w:link w:val="CommentSubjectChar"/>
    <w:uiPriority w:val="99"/>
    <w:semiHidden/>
    <w:unhideWhenUsed/>
    <w:rsid w:val="003A05EB"/>
    <w:rPr>
      <w:b/>
      <w:bCs/>
    </w:rPr>
  </w:style>
  <w:style w:type="character" w:customStyle="1" w:styleId="CommentSubjectChar">
    <w:name w:val="Comment Subject Char"/>
    <w:basedOn w:val="CommentTextChar"/>
    <w:link w:val="CommentSubject"/>
    <w:uiPriority w:val="99"/>
    <w:semiHidden/>
    <w:rsid w:val="003A05EB"/>
    <w:rPr>
      <w:b/>
      <w:bCs/>
      <w:sz w:val="20"/>
      <w:szCs w:val="20"/>
    </w:rPr>
  </w:style>
  <w:style w:type="paragraph" w:styleId="BalloonText">
    <w:name w:val="Balloon Text"/>
    <w:basedOn w:val="Normal"/>
    <w:link w:val="BalloonTextChar"/>
    <w:uiPriority w:val="99"/>
    <w:semiHidden/>
    <w:unhideWhenUsed/>
    <w:rsid w:val="003A0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EB"/>
    <w:rPr>
      <w:rFonts w:ascii="Segoe UI" w:hAnsi="Segoe UI" w:cs="Segoe UI"/>
      <w:sz w:val="18"/>
      <w:szCs w:val="18"/>
    </w:rPr>
  </w:style>
  <w:style w:type="paragraph" w:styleId="FootnoteText">
    <w:name w:val="footnote text"/>
    <w:basedOn w:val="Normal"/>
    <w:link w:val="FootnoteTextChar"/>
    <w:uiPriority w:val="99"/>
    <w:semiHidden/>
    <w:unhideWhenUsed/>
    <w:rsid w:val="00776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B50"/>
    <w:rPr>
      <w:sz w:val="20"/>
      <w:szCs w:val="20"/>
    </w:rPr>
  </w:style>
  <w:style w:type="character" w:styleId="FootnoteReference">
    <w:name w:val="footnote reference"/>
    <w:basedOn w:val="DefaultParagraphFont"/>
    <w:uiPriority w:val="99"/>
    <w:semiHidden/>
    <w:unhideWhenUsed/>
    <w:rsid w:val="00776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Millen</dc:creator>
  <cp:keywords/>
  <dc:description/>
  <cp:lastModifiedBy>Anda Alkhatib-Luisier</cp:lastModifiedBy>
  <cp:revision>2</cp:revision>
  <dcterms:created xsi:type="dcterms:W3CDTF">2019-08-07T13:24:00Z</dcterms:created>
  <dcterms:modified xsi:type="dcterms:W3CDTF">2019-08-07T13:24:00Z</dcterms:modified>
</cp:coreProperties>
</file>