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1962"/>
        <w:gridCol w:w="5238"/>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D4632A">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1962"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5238"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14:paraId="2993E9B7" w14:textId="77777777" w:rsidTr="00D4632A">
        <w:tc>
          <w:tcPr>
            <w:tcW w:w="1294" w:type="dxa"/>
            <w:vAlign w:val="center"/>
          </w:tcPr>
          <w:p w14:paraId="5C194AA0" w14:textId="1C0D24BE" w:rsidR="00CA6EAB" w:rsidRPr="00213477" w:rsidRDefault="00D4632A" w:rsidP="00CA6EAB">
            <w:pPr>
              <w:autoSpaceDE w:val="0"/>
              <w:autoSpaceDN w:val="0"/>
              <w:spacing w:after="200"/>
              <w:jc w:val="both"/>
              <w:rPr>
                <w:rFonts w:ascii="Verdana" w:hAnsi="Verdana" w:cs="Arial"/>
                <w:sz w:val="20"/>
                <w:szCs w:val="20"/>
              </w:rPr>
            </w:pPr>
            <w:r>
              <w:rPr>
                <w:rFonts w:ascii="Verdana" w:hAnsi="Verdana" w:cs="Arial"/>
                <w:sz w:val="20"/>
                <w:szCs w:val="20"/>
              </w:rPr>
              <w:t>16</w:t>
            </w:r>
          </w:p>
        </w:tc>
        <w:tc>
          <w:tcPr>
            <w:tcW w:w="1962" w:type="dxa"/>
            <w:vAlign w:val="center"/>
          </w:tcPr>
          <w:p w14:paraId="5150B6B6" w14:textId="5CBED81D" w:rsidR="00CA6EAB" w:rsidRPr="00213477" w:rsidRDefault="00D4632A" w:rsidP="009B6112">
            <w:pPr>
              <w:autoSpaceDE w:val="0"/>
              <w:autoSpaceDN w:val="0"/>
              <w:spacing w:after="200"/>
              <w:jc w:val="both"/>
              <w:rPr>
                <w:rFonts w:ascii="Verdana" w:hAnsi="Verdana" w:cs="Arial"/>
                <w:sz w:val="20"/>
                <w:szCs w:val="20"/>
              </w:rPr>
            </w:pPr>
            <w:r w:rsidRPr="00D4632A">
              <w:rPr>
                <w:rFonts w:ascii="Verdana" w:hAnsi="Verdana" w:cs="Arial"/>
                <w:bCs/>
                <w:sz w:val="20"/>
                <w:szCs w:val="20"/>
              </w:rPr>
              <w:t>OPS</w:t>
            </w:r>
            <w:r>
              <w:rPr>
                <w:rFonts w:ascii="Verdana" w:hAnsi="Verdana" w:cs="Arial"/>
                <w:bCs/>
                <w:sz w:val="20"/>
                <w:szCs w:val="20"/>
              </w:rPr>
              <w:t xml:space="preserve"> </w:t>
            </w:r>
            <w:r w:rsidRPr="00D4632A">
              <w:rPr>
                <w:rFonts w:ascii="Verdana" w:hAnsi="Verdana" w:cs="Arial"/>
                <w:bCs/>
                <w:sz w:val="20"/>
                <w:szCs w:val="20"/>
              </w:rPr>
              <w:t>32050</w:t>
            </w:r>
          </w:p>
        </w:tc>
        <w:tc>
          <w:tcPr>
            <w:tcW w:w="5238" w:type="dxa"/>
            <w:vAlign w:val="center"/>
          </w:tcPr>
          <w:p w14:paraId="6B78FA0E" w14:textId="77777777" w:rsidR="00CA6EAB" w:rsidRDefault="00D4632A" w:rsidP="00D4632A">
            <w:pPr>
              <w:autoSpaceDE w:val="0"/>
              <w:autoSpaceDN w:val="0"/>
              <w:spacing w:after="200"/>
              <w:rPr>
                <w:rFonts w:ascii="Verdana" w:hAnsi="Verdana" w:cs="Arial"/>
              </w:rPr>
            </w:pPr>
            <w:r w:rsidRPr="00D4632A">
              <w:rPr>
                <w:rFonts w:ascii="Verdana" w:hAnsi="Verdana" w:cs="Arial"/>
              </w:rPr>
              <w:t>VOLUNTARIADO: AFIANZAR NUESTRA POSICIÓN COMO ORGANIZACIÓN DE VOLUNTARIAS Y VOLUNTARIOS</w:t>
            </w:r>
          </w:p>
          <w:p w14:paraId="207E551C" w14:textId="5D85AC14" w:rsidR="00D4632A" w:rsidRPr="00D4632A" w:rsidRDefault="00D4632A" w:rsidP="00D4632A">
            <w:pPr>
              <w:autoSpaceDE w:val="0"/>
              <w:autoSpaceDN w:val="0"/>
              <w:spacing w:after="200"/>
              <w:rPr>
                <w:rFonts w:ascii="Verdana" w:hAnsi="Verdana" w:cs="Arial"/>
                <w:lang w:val="en-US"/>
              </w:rPr>
            </w:pPr>
            <w:r w:rsidRPr="00D4632A">
              <w:rPr>
                <w:rFonts w:ascii="Verdana" w:hAnsi="Verdana" w:cs="Arial"/>
                <w:lang w:val="en-US"/>
              </w:rPr>
              <w:t>VOLUNTEERING: STRENGTHEN OUR POSITION AS A VOLUNTEERS ORGANIZATION</w:t>
            </w:r>
          </w:p>
        </w:tc>
      </w:tr>
    </w:tbl>
    <w:p w14:paraId="40BE3276" w14:textId="77777777" w:rsidR="00D4632A" w:rsidRPr="00D4632A" w:rsidRDefault="00D4632A" w:rsidP="00D4632A">
      <w:pPr>
        <w:autoSpaceDE w:val="0"/>
        <w:autoSpaceDN w:val="0"/>
        <w:spacing w:after="200"/>
        <w:jc w:val="both"/>
        <w:rPr>
          <w:rFonts w:ascii="Verdana" w:hAnsi="Verdana" w:cs="Arial"/>
          <w:lang w:val="en-US"/>
        </w:rPr>
      </w:pPr>
    </w:p>
    <w:p w14:paraId="5BA2BFE4"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Cruz Roja Española diseñó en 2014 un programa de consultoría y acompañamiento al fortalecimiento de capacidades con Sociedades Nacionales hermanas (programa de cooperación técnica). Si bien este programa se dirige a distintos ámbitos (como inclusión social o captación de fondos), se ha previsto que la mayoría de iniciativas de acompañamiento que se desarrollen en el marco de este programa se centren en el ámbito del desarrollo del voluntariado.</w:t>
      </w:r>
    </w:p>
    <w:p w14:paraId="0DA884AB"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A modo de ejemplo, Cruz Roja Española ha diseñado un conjunto de iniciativas dirigidas a fortalecer las estructuras de voluntariado de Sociedades Nacionales americanas, promoviendo el despliegue de acciones vinculadas a la inclusión social. Destaca la iniciativa de éxito escolar, con la que se pretende que las Sociedades Nacionales americanas que lo deseen, participen en un programa de alcance regional centrado en el trabajo de personas voluntarias, prestando apoyo y acompañamiento a niños y niñas en situación de vulnerabilidad social. Se espera que esta iniciativa se implante en 10 Sociedades Nacionales.</w:t>
      </w:r>
    </w:p>
    <w:p w14:paraId="14F64ABF"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Para ello, en América, Cruz Roja Española ha comprometido un presupuesto de más de 200.000EUR, que está siendo gestionado directamente desde las 10 Sociedades Nacionales que se han vinculado al programa para contribuir al fortalecimiento de sus estructuras de voluntariado en el área de inclusión social. Además, la coordinación regional de la iniciativa está siendo desarrollada por la Cruz Roja Nicaragüense.</w:t>
      </w:r>
    </w:p>
    <w:p w14:paraId="479E44D2"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También en el contexto de la cooperación técnica, y a demanda de algunas Sociedades Nacionales interesadas, Cruz Roja Española ha iniciado procesos sistematizados y a largo plazo de acompañamiento y apoyo al fortalecimiento del área de voluntariado en América, Asia Central, Medio Oriente y África.</w:t>
      </w:r>
    </w:p>
    <w:p w14:paraId="1DC3186A"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lastRenderedPageBreak/>
        <w:t>Otro enfoque de actividad vinculada al desarrollo del voluntariado son las plazas de voluntariado internacional que Cruz Roja Española viene desarrollando desde 2013. Esta figura de voluntariado internacional se ha centrado en varias ocasiones en el acompañamiento y apoyo al fortalecimiento de las estructuras de voluntariado de Sociedades Nacionales americanas en misiones de dos a tres meses de duración. Como ejemplo, una misión de apoyo a Cruz Roja Panameña en la puesta en marcha de su área de Voluntariado</w:t>
      </w:r>
    </w:p>
    <w:p w14:paraId="608C521A"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Por otro lado, Cruz Roja Española ha apoyado con dos plazas de voluntariado internacional en América específicamente dirigidas a personas voluntarias de Cruz Roja Juventud. Estas plazas han tenido como finalidad acompañar a las secciones de juventud en tres Sociedades Nacionales americanas en el diseño o reformulación de programas de prevención del consumo de drogas. Colateralmente, pretendemos utilizar estas experiencias para realizar un análisis de capacidades-vulnerabilidades de las correspondientes estructuras de juventud y de sus equipos de personas voluntarias con objeto de identificar posibles acciones futuras de acompañamiento.</w:t>
      </w:r>
    </w:p>
    <w:p w14:paraId="0236A71C"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Destacamos además que, en América, Cruz Roja Española inició en 2015 un proyecto de becas para la participación de personal voluntario de Sociedades Nacionales latinoamericanas en cursos online ofertados a través de nuestra plataforma de aprendizaje. Los cursos ofrecidos han sido los siguientes:</w:t>
      </w:r>
    </w:p>
    <w:p w14:paraId="05B593B9"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Enfoque del marco lógico en la cooperación internacional</w:t>
      </w:r>
    </w:p>
    <w:p w14:paraId="21F0DCAE"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Planificación estratégica en entidades no lucrativas</w:t>
      </w:r>
    </w:p>
    <w:p w14:paraId="304EB9B9"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Apoyo psicológico en situaciones de emergencia</w:t>
      </w:r>
    </w:p>
    <w:p w14:paraId="5737B37A"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Apoyo psicológico</w:t>
      </w:r>
    </w:p>
    <w:p w14:paraId="0EED3989"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Educación para el desarrollo</w:t>
      </w:r>
    </w:p>
    <w:p w14:paraId="3DC4EF46"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Taller práctico: proyecto Esfera</w:t>
      </w:r>
    </w:p>
    <w:p w14:paraId="471C143D"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Exploremos el derecho internacional humanitario</w:t>
      </w:r>
    </w:p>
    <w:p w14:paraId="1B4150C3"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Modulo: trabajo en grupo</w:t>
      </w:r>
    </w:p>
    <w:p w14:paraId="33C41232"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Especialista en formación presencial</w:t>
      </w:r>
    </w:p>
    <w:p w14:paraId="03FADB57"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Open Data Kit nivel básico</w:t>
      </w:r>
    </w:p>
    <w:p w14:paraId="49BD3D8B"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Primeros auxilios en el deporte</w:t>
      </w:r>
    </w:p>
    <w:p w14:paraId="7BEEEC63"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Introducción a la gestión del conocimiento</w:t>
      </w:r>
    </w:p>
    <w:p w14:paraId="17EF8B94" w14:textId="77777777" w:rsidR="00D4632A" w:rsidRPr="00D4632A" w:rsidRDefault="00D4632A" w:rsidP="00D4632A">
      <w:pPr>
        <w:autoSpaceDE w:val="0"/>
        <w:autoSpaceDN w:val="0"/>
        <w:spacing w:after="200"/>
        <w:jc w:val="both"/>
        <w:rPr>
          <w:rFonts w:ascii="Verdana" w:hAnsi="Verdana" w:cs="Arial"/>
        </w:rPr>
      </w:pPr>
    </w:p>
    <w:p w14:paraId="5BCA58BF"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lastRenderedPageBreak/>
        <w:t>A la fecha de elaboración de este informe, han participado más de 140 personas de 7 Sociedades Nacionales americanas.</w:t>
      </w:r>
    </w:p>
    <w:p w14:paraId="7CBB8920"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También planteamos en este apartado el Programa de Aprendizaje sobre Voluntariado. Esta es una iniciativa formativa impulsada por Cruz Roja Española con el apoyo de la Federación Internacional. En el momento de elaboración del informe, 108 personas vinculadas a 60 organizaciones de la Cruz Roja y de la Media Luna Roja se han registrado en el Programa. De ellas, las siguientes organizaciones se ubican en la región de América:</w:t>
      </w:r>
    </w:p>
    <w:p w14:paraId="4188867D"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 xml:space="preserve">Anguilla </w:t>
      </w:r>
    </w:p>
    <w:p w14:paraId="2D9C389C"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Antigua y Barbuda</w:t>
      </w:r>
    </w:p>
    <w:p w14:paraId="5D349249"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Argentina</w:t>
      </w:r>
    </w:p>
    <w:p w14:paraId="44DCDDA6"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Barbados</w:t>
      </w:r>
    </w:p>
    <w:p w14:paraId="68300F0E"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Belice</w:t>
      </w:r>
    </w:p>
    <w:p w14:paraId="16BE7F8E"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Colombia</w:t>
      </w:r>
    </w:p>
    <w:p w14:paraId="25301A8B"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Costa Rica</w:t>
      </w:r>
    </w:p>
    <w:p w14:paraId="41770390"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Dominica</w:t>
      </w:r>
    </w:p>
    <w:p w14:paraId="0DD08694"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El Salvador</w:t>
      </w:r>
    </w:p>
    <w:p w14:paraId="13C79863"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Guatemala</w:t>
      </w:r>
    </w:p>
    <w:p w14:paraId="6B2DBF6A"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Honduras</w:t>
      </w:r>
    </w:p>
    <w:p w14:paraId="55154137"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Islas Caimán</w:t>
      </w:r>
    </w:p>
    <w:p w14:paraId="2B73B0A0"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 xml:space="preserve">Jamaica </w:t>
      </w:r>
    </w:p>
    <w:p w14:paraId="104BB535" w14:textId="771B6A00"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Panamá</w:t>
      </w:r>
    </w:p>
    <w:p w14:paraId="437365E1"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República Dominicana</w:t>
      </w:r>
    </w:p>
    <w:p w14:paraId="3D184859"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San Cristóbal y Nieves</w:t>
      </w:r>
    </w:p>
    <w:p w14:paraId="679C4F7A"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San Vicente y las Granadinas</w:t>
      </w:r>
    </w:p>
    <w:p w14:paraId="72A1F0A8"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Surinam</w:t>
      </w:r>
    </w:p>
    <w:p w14:paraId="499A481B" w14:textId="77777777" w:rsidR="00D4632A" w:rsidRPr="00D4632A" w:rsidRDefault="00D4632A" w:rsidP="00D4632A">
      <w:pPr>
        <w:numPr>
          <w:ilvl w:val="0"/>
          <w:numId w:val="7"/>
        </w:numPr>
        <w:autoSpaceDE w:val="0"/>
        <w:autoSpaceDN w:val="0"/>
        <w:spacing w:after="200"/>
        <w:jc w:val="both"/>
        <w:rPr>
          <w:rFonts w:ascii="Verdana" w:hAnsi="Verdana" w:cs="Arial"/>
        </w:rPr>
      </w:pPr>
      <w:r w:rsidRPr="00D4632A">
        <w:rPr>
          <w:rFonts w:ascii="Verdana" w:hAnsi="Verdana" w:cs="Arial"/>
        </w:rPr>
        <w:t>Trinidad y Tobago</w:t>
      </w:r>
    </w:p>
    <w:p w14:paraId="591347B0"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t>Cruz Roja Española inició en 2018 un apoyo financiero de 100.000EUR específicamente para las estructuras de voluntariado de las oficinas regionales de la Federación Internacional. El primer apoyo se realizó al área de voluntariado de la oficina regional de las Américas.</w:t>
      </w:r>
    </w:p>
    <w:p w14:paraId="53B1FE7B" w14:textId="77777777" w:rsidR="00D4632A" w:rsidRPr="00D4632A" w:rsidRDefault="00D4632A" w:rsidP="00D4632A">
      <w:pPr>
        <w:autoSpaceDE w:val="0"/>
        <w:autoSpaceDN w:val="0"/>
        <w:spacing w:after="200"/>
        <w:jc w:val="both"/>
        <w:rPr>
          <w:rFonts w:ascii="Verdana" w:hAnsi="Verdana" w:cs="Arial"/>
        </w:rPr>
      </w:pPr>
      <w:r w:rsidRPr="00D4632A">
        <w:rPr>
          <w:rFonts w:ascii="Verdana" w:hAnsi="Verdana" w:cs="Arial"/>
        </w:rPr>
        <w:lastRenderedPageBreak/>
        <w:t>En el ámbito internacional, Cruz Roja Española también está participando en tres procesos relacionados con el voluntariado a nivel global susceptible de impactar positivamente en la construcción de capacidades de las Sociedades Nacionales del continente americano:</w:t>
      </w:r>
    </w:p>
    <w:p w14:paraId="6E7CA2D3" w14:textId="77777777" w:rsidR="00D4632A" w:rsidRPr="00D4632A" w:rsidRDefault="00D4632A" w:rsidP="00D4632A">
      <w:pPr>
        <w:numPr>
          <w:ilvl w:val="0"/>
          <w:numId w:val="6"/>
        </w:numPr>
        <w:autoSpaceDE w:val="0"/>
        <w:autoSpaceDN w:val="0"/>
        <w:spacing w:after="200"/>
        <w:jc w:val="both"/>
        <w:rPr>
          <w:rFonts w:ascii="Verdana" w:hAnsi="Verdana" w:cs="Arial"/>
        </w:rPr>
      </w:pPr>
      <w:r w:rsidRPr="00D4632A">
        <w:rPr>
          <w:rFonts w:ascii="Verdana" w:hAnsi="Verdana" w:cs="Arial"/>
        </w:rPr>
        <w:t xml:space="preserve">Elaboración de las </w:t>
      </w:r>
      <w:r w:rsidRPr="00D4632A">
        <w:rPr>
          <w:rFonts w:ascii="Verdana" w:hAnsi="Verdana" w:cs="Arial"/>
          <w:b/>
          <w:i/>
        </w:rPr>
        <w:t>orientaciones para los textos estatutarios de las Sociedades nacionales</w:t>
      </w:r>
      <w:r w:rsidRPr="00D4632A">
        <w:rPr>
          <w:rFonts w:ascii="Verdana" w:hAnsi="Verdana" w:cs="Arial"/>
        </w:rPr>
        <w:t xml:space="preserve"> donde estamos promoviendo el papel de las personas voluntarias en la toma formal de decisiones en el seno de sus organizaciones.</w:t>
      </w:r>
    </w:p>
    <w:p w14:paraId="3E7F794E" w14:textId="77777777" w:rsidR="00D4632A" w:rsidRPr="00D4632A" w:rsidRDefault="00D4632A" w:rsidP="00D4632A">
      <w:pPr>
        <w:numPr>
          <w:ilvl w:val="0"/>
          <w:numId w:val="6"/>
        </w:numPr>
        <w:autoSpaceDE w:val="0"/>
        <w:autoSpaceDN w:val="0"/>
        <w:spacing w:after="200"/>
        <w:jc w:val="both"/>
        <w:rPr>
          <w:rFonts w:ascii="Verdana" w:hAnsi="Verdana" w:cs="Arial"/>
          <w:b/>
          <w:i/>
        </w:rPr>
      </w:pPr>
      <w:r w:rsidRPr="00D4632A">
        <w:rPr>
          <w:rFonts w:ascii="Verdana" w:hAnsi="Verdana" w:cs="Arial"/>
          <w:b/>
          <w:i/>
        </w:rPr>
        <w:t xml:space="preserve">Alianza Global de Voluntariado </w:t>
      </w:r>
      <w:r w:rsidRPr="00D4632A">
        <w:rPr>
          <w:rFonts w:ascii="Verdana" w:hAnsi="Verdana" w:cs="Arial"/>
        </w:rPr>
        <w:t>donde CRE está liderando los esfuerzos para una mejor gestión de los datos de las personas voluntarias de las Sociedades nacionales con el propósito de contribuir a un mejor desarrollo organizacional.</w:t>
      </w:r>
    </w:p>
    <w:p w14:paraId="3B5D7A88" w14:textId="261396C8" w:rsidR="00D4632A" w:rsidRPr="00D4632A" w:rsidRDefault="00D4632A" w:rsidP="00D4632A">
      <w:pPr>
        <w:numPr>
          <w:ilvl w:val="0"/>
          <w:numId w:val="6"/>
        </w:numPr>
        <w:autoSpaceDE w:val="0"/>
        <w:autoSpaceDN w:val="0"/>
        <w:spacing w:after="200"/>
        <w:jc w:val="both"/>
        <w:rPr>
          <w:rFonts w:ascii="Verdana" w:hAnsi="Verdana" w:cs="Arial"/>
          <w:b/>
          <w:i/>
        </w:rPr>
      </w:pPr>
      <w:r w:rsidRPr="00D4632A">
        <w:rPr>
          <w:rFonts w:ascii="Verdana" w:hAnsi="Verdana" w:cs="Arial"/>
          <w:b/>
          <w:i/>
        </w:rPr>
        <w:t xml:space="preserve">Creación del grupo ad hoc sobre servicio voluntario en 2018. </w:t>
      </w:r>
      <w:r w:rsidRPr="00D4632A">
        <w:rPr>
          <w:rFonts w:ascii="Verdana" w:hAnsi="Verdana" w:cs="Arial"/>
        </w:rPr>
        <w:t xml:space="preserve">Este grupo es dependiente del grupo de trabajo </w:t>
      </w:r>
      <w:r>
        <w:rPr>
          <w:rFonts w:ascii="Verdana" w:hAnsi="Verdana" w:cs="Arial"/>
        </w:rPr>
        <w:t xml:space="preserve">de la Junta de Gobierno </w:t>
      </w:r>
      <w:r w:rsidRPr="00D4632A">
        <w:rPr>
          <w:rFonts w:ascii="Verdana" w:hAnsi="Verdana" w:cs="Arial"/>
        </w:rPr>
        <w:t>sobre Sociedades Nacionales Fuertes y Servicio voluntario. Su mandato es el de proporcionar información actualizada y orientación sobre el voluntariado. Actualmente participan en este grupo ad hoc las siguientes Sociedades Nacionales:</w:t>
      </w:r>
    </w:p>
    <w:p w14:paraId="0C327B0B"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Cruz Roja Australiana</w:t>
      </w:r>
    </w:p>
    <w:p w14:paraId="07A6FAFD"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Cruz Roja Danesa</w:t>
      </w:r>
    </w:p>
    <w:p w14:paraId="2BF772E9"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 xml:space="preserve">Cruz Roja de Georgia </w:t>
      </w:r>
    </w:p>
    <w:p w14:paraId="4F00148F"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Cruz Roja Italiana</w:t>
      </w:r>
    </w:p>
    <w:p w14:paraId="51218977"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 xml:space="preserve">Cruz Roja Hondureña </w:t>
      </w:r>
    </w:p>
    <w:p w14:paraId="0EA37A11"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 xml:space="preserve">Cruz Roja de Zimbabwe </w:t>
      </w:r>
    </w:p>
    <w:p w14:paraId="308E9DDE"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 xml:space="preserve">Federación Internacional </w:t>
      </w:r>
    </w:p>
    <w:p w14:paraId="6A4B1042" w14:textId="77777777" w:rsidR="00D4632A" w:rsidRPr="00D4632A" w:rsidRDefault="00D4632A" w:rsidP="00D4632A">
      <w:pPr>
        <w:numPr>
          <w:ilvl w:val="0"/>
          <w:numId w:val="8"/>
        </w:numPr>
        <w:autoSpaceDE w:val="0"/>
        <w:autoSpaceDN w:val="0"/>
        <w:spacing w:after="200"/>
        <w:jc w:val="both"/>
        <w:rPr>
          <w:rFonts w:ascii="Verdana" w:hAnsi="Verdana" w:cs="Arial"/>
        </w:rPr>
      </w:pPr>
      <w:r w:rsidRPr="00D4632A">
        <w:rPr>
          <w:rFonts w:ascii="Verdana" w:hAnsi="Verdana" w:cs="Arial"/>
        </w:rPr>
        <w:t>Cruz Roja Española</w:t>
      </w:r>
    </w:p>
    <w:p w14:paraId="1E2E9799" w14:textId="5CBBA02C" w:rsidR="009B6112" w:rsidRDefault="00D4632A" w:rsidP="00D4632A">
      <w:pPr>
        <w:autoSpaceDE w:val="0"/>
        <w:autoSpaceDN w:val="0"/>
        <w:spacing w:after="200"/>
        <w:jc w:val="both"/>
        <w:rPr>
          <w:rFonts w:ascii="Verdana" w:hAnsi="Verdana" w:cs="Arial"/>
        </w:rPr>
      </w:pPr>
      <w:r w:rsidRPr="00D4632A">
        <w:rPr>
          <w:rFonts w:ascii="Verdana" w:hAnsi="Verdana" w:cs="Arial"/>
        </w:rPr>
        <w:t>Hasta la fecha de elaboración del informe, el grupo ad hoc ha desarrollado dos reuniones en las que se han tratado asuntos como el apoyo a la Alianza de Voluntariado, los estándares de voluntariado o el Programa de Aprendizaje sobre Voluntariado.</w:t>
      </w:r>
    </w:p>
    <w:p w14:paraId="4C639B8D" w14:textId="5E7EB82E"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bookmarkStart w:id="0" w:name="_GoBack"/>
      <w:bookmarkEnd w:id="0"/>
      <w:r>
        <w:rPr>
          <w:rFonts w:ascii="Verdana" w:hAnsi="Verdana" w:cs="Arial"/>
        </w:rPr>
        <w:t>Julio 2019</w:t>
      </w:r>
    </w:p>
    <w:sectPr w:rsidR="009B61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3351A6DB"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3A365B">
      <w:rPr>
        <w:noProof/>
      </w:rPr>
      <w:t>1</w:t>
    </w:r>
    <w:r>
      <w:fldChar w:fldCharType="end"/>
    </w:r>
    <w:r>
      <w:t xml:space="preserve"> de </w:t>
    </w:r>
    <w:fldSimple w:instr=" NUMPAGES  \* Arabic  \* MERGEFORMAT ">
      <w:r w:rsidR="003A365B">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5996146"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71409A"/>
    <w:multiLevelType w:val="hybridMultilevel"/>
    <w:tmpl w:val="2F622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DCA7A87"/>
    <w:multiLevelType w:val="hybridMultilevel"/>
    <w:tmpl w:val="A60C842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7D4C1C37"/>
    <w:multiLevelType w:val="hybridMultilevel"/>
    <w:tmpl w:val="A60C842A"/>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3A365B"/>
    <w:rsid w:val="004F1D39"/>
    <w:rsid w:val="006D456B"/>
    <w:rsid w:val="008A7125"/>
    <w:rsid w:val="00945871"/>
    <w:rsid w:val="00964F03"/>
    <w:rsid w:val="009B6112"/>
    <w:rsid w:val="00A32665"/>
    <w:rsid w:val="00C158B3"/>
    <w:rsid w:val="00CA6EAB"/>
    <w:rsid w:val="00CE42B9"/>
    <w:rsid w:val="00D4632A"/>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D95F5762-82A4-40C4-818F-4DF1538E3716}">
  <ds:schemaRefs>
    <ds:schemaRef ds:uri="http://schemas.microsoft.com/office/2006/documentManagement/types"/>
    <ds:schemaRef ds:uri="http://schemas.microsoft.com/office/infopath/2007/PartnerControls"/>
    <ds:schemaRef ds:uri="d484d78f-58d3-4876-956f-38838b040f45"/>
    <ds:schemaRef ds:uri="http://purl.org/dc/elements/1.1/"/>
    <ds:schemaRef ds:uri="http://schemas.microsoft.com/office/2006/metadata/properties"/>
    <ds:schemaRef ds:uri="951e9889-399b-480e-a907-c432bd10fcc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2019-07-30T10:38:00Z</dcterms:created>
  <dcterms:modified xsi:type="dcterms:W3CDTF">2019-07-30T10:49:00Z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