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294"/>
        <w:gridCol w:w="2387"/>
        <w:gridCol w:w="4813"/>
      </w:tblGrid>
      <w:tr w:rsidR="00CA6EAB" w14:paraId="2BD2A516" w14:textId="77777777" w:rsidTr="001A4F05">
        <w:trPr>
          <w:trHeight w:val="1072"/>
        </w:trPr>
        <w:tc>
          <w:tcPr>
            <w:tcW w:w="8494" w:type="dxa"/>
            <w:gridSpan w:val="3"/>
            <w:vAlign w:val="center"/>
          </w:tcPr>
          <w:p w14:paraId="4B930BEC" w14:textId="77777777" w:rsidR="00CA6EAB" w:rsidRDefault="00CA6EAB" w:rsidP="00CA6EAB">
            <w:pPr>
              <w:autoSpaceDE w:val="0"/>
              <w:autoSpaceDN w:val="0"/>
              <w:spacing w:line="240" w:lineRule="auto"/>
              <w:jc w:val="center"/>
              <w:rPr>
                <w:rFonts w:ascii="Verdana" w:hAnsi="Verdana" w:cs="Arial"/>
                <w:b/>
              </w:rPr>
            </w:pPr>
            <w:r w:rsidRPr="00CA6EAB">
              <w:rPr>
                <w:rFonts w:ascii="Verdana" w:hAnsi="Verdana" w:cs="Arial"/>
                <w:b/>
              </w:rPr>
              <w:t xml:space="preserve">INFORME </w:t>
            </w:r>
            <w:r>
              <w:rPr>
                <w:rFonts w:ascii="Verdana" w:hAnsi="Verdana" w:cs="Arial"/>
                <w:b/>
              </w:rPr>
              <w:t xml:space="preserve">DE LAS </w:t>
            </w:r>
            <w:r w:rsidRPr="00CA6EAB">
              <w:rPr>
                <w:rFonts w:ascii="Verdana" w:hAnsi="Verdana" w:cs="Arial"/>
                <w:b/>
              </w:rPr>
              <w:t>PROMESAS DE</w:t>
            </w:r>
            <w:r>
              <w:rPr>
                <w:rFonts w:ascii="Verdana" w:hAnsi="Verdana" w:cs="Arial"/>
                <w:b/>
              </w:rPr>
              <w:t xml:space="preserve"> CRUZ ROJA ESPAÑOLA EN LA</w:t>
            </w:r>
          </w:p>
          <w:p w14:paraId="633D49E7" w14:textId="77777777" w:rsidR="00CA6EAB" w:rsidRDefault="00CA6EAB" w:rsidP="00CA6EAB">
            <w:pPr>
              <w:autoSpaceDE w:val="0"/>
              <w:autoSpaceDN w:val="0"/>
              <w:spacing w:line="240" w:lineRule="auto"/>
              <w:jc w:val="center"/>
              <w:rPr>
                <w:rFonts w:ascii="Verdana" w:hAnsi="Verdana" w:cs="Arial"/>
                <w:b/>
              </w:rPr>
            </w:pPr>
            <w:r>
              <w:rPr>
                <w:rFonts w:ascii="Verdana" w:hAnsi="Verdana" w:cs="Arial"/>
                <w:b/>
              </w:rPr>
              <w:t>XXXII</w:t>
            </w:r>
            <w:r w:rsidRPr="00CA6EAB">
              <w:rPr>
                <w:rFonts w:ascii="Verdana" w:hAnsi="Verdana" w:cs="Arial"/>
                <w:b/>
              </w:rPr>
              <w:t xml:space="preserve"> CONFERENCIA IN</w:t>
            </w:r>
            <w:r>
              <w:rPr>
                <w:rFonts w:ascii="Verdana" w:hAnsi="Verdana" w:cs="Arial"/>
                <w:b/>
              </w:rPr>
              <w:t>TERNACIONAL</w:t>
            </w:r>
          </w:p>
          <w:p w14:paraId="414915B5" w14:textId="77777777" w:rsidR="00CA6EAB" w:rsidRDefault="00CA6EAB" w:rsidP="00CA6EAB">
            <w:pPr>
              <w:autoSpaceDE w:val="0"/>
              <w:autoSpaceDN w:val="0"/>
              <w:spacing w:line="240" w:lineRule="auto"/>
              <w:jc w:val="center"/>
              <w:rPr>
                <w:rFonts w:ascii="Verdana" w:hAnsi="Verdana" w:cs="Arial"/>
                <w:b/>
              </w:rPr>
            </w:pPr>
            <w:r w:rsidRPr="00CA6EAB">
              <w:rPr>
                <w:rFonts w:ascii="Verdana" w:hAnsi="Verdana" w:cs="Arial"/>
                <w:b/>
              </w:rPr>
              <w:t>DE LA CRUZ ROJ</w:t>
            </w:r>
            <w:r>
              <w:rPr>
                <w:rFonts w:ascii="Verdana" w:hAnsi="Verdana" w:cs="Arial"/>
                <w:b/>
              </w:rPr>
              <w:t>A Y DE LA MEDIA LUNA ROJA, 2015</w:t>
            </w:r>
          </w:p>
        </w:tc>
      </w:tr>
      <w:tr w:rsidR="00CA6EAB" w14:paraId="226D7474" w14:textId="77777777" w:rsidTr="001A4F05">
        <w:tc>
          <w:tcPr>
            <w:tcW w:w="1294" w:type="dxa"/>
            <w:vAlign w:val="center"/>
          </w:tcPr>
          <w:p w14:paraId="4B13F8C9" w14:textId="77777777" w:rsidR="00CA6EAB" w:rsidRPr="00213477" w:rsidRDefault="00CA6EAB" w:rsidP="00CA6EAB">
            <w:pPr>
              <w:autoSpaceDE w:val="0"/>
              <w:autoSpaceDN w:val="0"/>
              <w:spacing w:after="200"/>
              <w:jc w:val="center"/>
              <w:rPr>
                <w:rFonts w:ascii="Verdana" w:hAnsi="Verdana" w:cs="Arial"/>
                <w:sz w:val="20"/>
                <w:szCs w:val="20"/>
              </w:rPr>
            </w:pPr>
            <w:r w:rsidRPr="00213477">
              <w:rPr>
                <w:rFonts w:ascii="Verdana" w:hAnsi="Verdana" w:cs="Arial"/>
                <w:sz w:val="20"/>
                <w:szCs w:val="20"/>
              </w:rPr>
              <w:t>Promesa CRE nº</w:t>
            </w:r>
          </w:p>
        </w:tc>
        <w:tc>
          <w:tcPr>
            <w:tcW w:w="2387" w:type="dxa"/>
            <w:vAlign w:val="center"/>
          </w:tcPr>
          <w:p w14:paraId="583C0EE9" w14:textId="77777777" w:rsidR="00CA6EAB" w:rsidRPr="00213477" w:rsidRDefault="00CA6EAB" w:rsidP="00CA6EAB">
            <w:pPr>
              <w:autoSpaceDE w:val="0"/>
              <w:autoSpaceDN w:val="0"/>
              <w:spacing w:after="200"/>
              <w:jc w:val="center"/>
              <w:rPr>
                <w:rFonts w:ascii="Verdana" w:hAnsi="Verdana" w:cs="Arial"/>
                <w:sz w:val="20"/>
                <w:szCs w:val="20"/>
              </w:rPr>
            </w:pPr>
            <w:r w:rsidRPr="00213477">
              <w:rPr>
                <w:rFonts w:ascii="Verdana" w:hAnsi="Verdana" w:cs="Arial"/>
                <w:sz w:val="20"/>
                <w:szCs w:val="20"/>
              </w:rPr>
              <w:t>Número Registro PROMESAS CI</w:t>
            </w:r>
          </w:p>
        </w:tc>
        <w:tc>
          <w:tcPr>
            <w:tcW w:w="4813" w:type="dxa"/>
            <w:vAlign w:val="center"/>
          </w:tcPr>
          <w:p w14:paraId="1314DCF6" w14:textId="77777777" w:rsidR="00CA6EAB" w:rsidRPr="00213477" w:rsidRDefault="00CA6EAB" w:rsidP="00CA6EAB">
            <w:pPr>
              <w:autoSpaceDE w:val="0"/>
              <w:autoSpaceDN w:val="0"/>
              <w:spacing w:after="200"/>
              <w:jc w:val="center"/>
              <w:rPr>
                <w:rFonts w:ascii="Verdana" w:hAnsi="Verdana" w:cs="Arial"/>
                <w:sz w:val="20"/>
                <w:szCs w:val="20"/>
              </w:rPr>
            </w:pPr>
            <w:r w:rsidRPr="00213477">
              <w:rPr>
                <w:rFonts w:ascii="Verdana" w:hAnsi="Verdana" w:cs="Arial"/>
                <w:sz w:val="20"/>
                <w:szCs w:val="20"/>
              </w:rPr>
              <w:t>Título</w:t>
            </w:r>
          </w:p>
        </w:tc>
      </w:tr>
      <w:tr w:rsidR="00CA6EAB" w:rsidRPr="00DA20DF" w14:paraId="2993E9B7" w14:textId="77777777" w:rsidTr="00DA20DF">
        <w:tc>
          <w:tcPr>
            <w:tcW w:w="1294" w:type="dxa"/>
            <w:vAlign w:val="center"/>
          </w:tcPr>
          <w:p w14:paraId="5C194AA0" w14:textId="1895169B" w:rsidR="00CA6EAB" w:rsidRPr="00DA20DF" w:rsidRDefault="00FD5983" w:rsidP="00CA6EAB">
            <w:pPr>
              <w:autoSpaceDE w:val="0"/>
              <w:autoSpaceDN w:val="0"/>
              <w:spacing w:after="200"/>
              <w:jc w:val="both"/>
              <w:rPr>
                <w:rFonts w:ascii="Verdana" w:hAnsi="Verdana" w:cs="Arial"/>
                <w:sz w:val="20"/>
                <w:szCs w:val="20"/>
              </w:rPr>
            </w:pPr>
            <w:r w:rsidRPr="00DA20DF">
              <w:rPr>
                <w:rFonts w:ascii="Verdana" w:hAnsi="Verdana" w:cs="Arial"/>
                <w:sz w:val="20"/>
                <w:szCs w:val="20"/>
              </w:rPr>
              <w:t>10</w:t>
            </w:r>
          </w:p>
        </w:tc>
        <w:tc>
          <w:tcPr>
            <w:tcW w:w="2387" w:type="dxa"/>
            <w:vAlign w:val="center"/>
          </w:tcPr>
          <w:p w14:paraId="5150B6B6" w14:textId="55AF9610" w:rsidR="00CA6EAB" w:rsidRPr="00DA20DF" w:rsidRDefault="00FD5983" w:rsidP="00FD5983">
            <w:pPr>
              <w:autoSpaceDE w:val="0"/>
              <w:autoSpaceDN w:val="0"/>
              <w:spacing w:after="200"/>
              <w:jc w:val="both"/>
              <w:rPr>
                <w:rFonts w:ascii="Verdana" w:hAnsi="Verdana" w:cs="Arial"/>
                <w:sz w:val="20"/>
                <w:szCs w:val="20"/>
              </w:rPr>
            </w:pPr>
            <w:r w:rsidRPr="00DA20DF">
              <w:rPr>
                <w:rFonts w:ascii="Verdana" w:hAnsi="Verdana" w:cs="Arial"/>
                <w:bCs/>
                <w:sz w:val="20"/>
                <w:szCs w:val="20"/>
              </w:rPr>
              <w:t>OP320039</w:t>
            </w:r>
          </w:p>
        </w:tc>
        <w:tc>
          <w:tcPr>
            <w:tcW w:w="4813" w:type="dxa"/>
            <w:vAlign w:val="center"/>
          </w:tcPr>
          <w:p w14:paraId="5167737E" w14:textId="15722F79" w:rsidR="00DA20DF" w:rsidRPr="00DA20DF" w:rsidRDefault="00DA20DF" w:rsidP="00DA20DF">
            <w:pPr>
              <w:autoSpaceDE w:val="0"/>
              <w:autoSpaceDN w:val="0"/>
              <w:spacing w:after="200"/>
              <w:jc w:val="both"/>
              <w:rPr>
                <w:rFonts w:ascii="Verdana" w:hAnsi="Verdana" w:cs="Arial"/>
                <w:bCs/>
                <w:sz w:val="20"/>
                <w:szCs w:val="20"/>
              </w:rPr>
            </w:pPr>
            <w:r w:rsidRPr="00DA20DF">
              <w:rPr>
                <w:rFonts w:ascii="Verdana" w:hAnsi="Verdana" w:cs="Arial"/>
                <w:bCs/>
                <w:sz w:val="20"/>
                <w:szCs w:val="20"/>
              </w:rPr>
              <w:t>FOMENTO Y DIFUSIÓN DEL DERECHO INTERNACIONAL HUMANITARIO</w:t>
            </w:r>
          </w:p>
          <w:p w14:paraId="207E551C" w14:textId="72762026" w:rsidR="00CA6EAB" w:rsidRPr="00DA20DF" w:rsidRDefault="00DA20DF" w:rsidP="00CA6EAB">
            <w:pPr>
              <w:autoSpaceDE w:val="0"/>
              <w:autoSpaceDN w:val="0"/>
              <w:spacing w:after="200"/>
              <w:jc w:val="both"/>
              <w:rPr>
                <w:rFonts w:ascii="Verdana" w:hAnsi="Verdana" w:cs="Arial"/>
                <w:bCs/>
                <w:i/>
                <w:sz w:val="20"/>
                <w:szCs w:val="20"/>
                <w:lang w:val="en-GB"/>
              </w:rPr>
            </w:pPr>
            <w:r w:rsidRPr="00DA20DF">
              <w:rPr>
                <w:rFonts w:ascii="Verdana" w:hAnsi="Verdana" w:cs="Arial"/>
                <w:bCs/>
                <w:i/>
                <w:sz w:val="20"/>
                <w:szCs w:val="20"/>
                <w:lang w:val="en-GB"/>
              </w:rPr>
              <w:t>(Promotion and dissemination of international humanitarian law)</w:t>
            </w:r>
          </w:p>
        </w:tc>
      </w:tr>
    </w:tbl>
    <w:p w14:paraId="23591687" w14:textId="44563C14" w:rsidR="0001531B" w:rsidRDefault="0001531B" w:rsidP="0001531B">
      <w:pPr>
        <w:autoSpaceDE w:val="0"/>
        <w:autoSpaceDN w:val="0"/>
        <w:spacing w:after="200"/>
        <w:rPr>
          <w:rFonts w:ascii="Verdana" w:hAnsi="Verdana" w:cs="Arial"/>
        </w:rPr>
      </w:pPr>
    </w:p>
    <w:p w14:paraId="3B4B9705" w14:textId="35D41893" w:rsidR="0001531B" w:rsidRDefault="0001531B" w:rsidP="0001531B">
      <w:pPr>
        <w:autoSpaceDE w:val="0"/>
        <w:autoSpaceDN w:val="0"/>
        <w:spacing w:after="200"/>
        <w:rPr>
          <w:rFonts w:ascii="Verdana" w:hAnsi="Verdana" w:cs="Arial"/>
        </w:rPr>
      </w:pPr>
      <w:r>
        <w:rPr>
          <w:rFonts w:ascii="Verdana" w:hAnsi="Verdana" w:cs="Arial"/>
        </w:rPr>
        <w:t xml:space="preserve">El Informe de esta Promesa es idéntico al presentado como resultados de la ejecución de la Promesa </w:t>
      </w:r>
      <w:r w:rsidRPr="0001531B">
        <w:rPr>
          <w:rFonts w:ascii="Verdana" w:hAnsi="Verdana" w:cs="Arial"/>
          <w:bCs/>
        </w:rPr>
        <w:t>OPS32051</w:t>
      </w:r>
      <w:r>
        <w:rPr>
          <w:rFonts w:ascii="Verdana" w:hAnsi="Verdana" w:cs="Arial"/>
          <w:bCs/>
        </w:rPr>
        <w:t xml:space="preserve">, sobre </w:t>
      </w:r>
      <w:r w:rsidRPr="0001531B">
        <w:rPr>
          <w:rFonts w:ascii="Verdana" w:hAnsi="Verdana" w:cs="Arial"/>
          <w:bCs/>
          <w:lang w:val="es-ES_tradnl"/>
        </w:rPr>
        <w:t>FORMACIÓN Y DIFUSIÓN DEL DERECHO INTERNACIONAL HUMANITARIO</w:t>
      </w:r>
      <w:bookmarkStart w:id="0" w:name="_GoBack"/>
      <w:bookmarkEnd w:id="0"/>
    </w:p>
    <w:p w14:paraId="4CC8C231" w14:textId="4D03BC3C" w:rsidR="0001531B" w:rsidRPr="0001531B" w:rsidRDefault="0001531B" w:rsidP="0001531B">
      <w:pPr>
        <w:autoSpaceDE w:val="0"/>
        <w:autoSpaceDN w:val="0"/>
        <w:spacing w:after="200"/>
        <w:rPr>
          <w:rFonts w:ascii="Verdana" w:hAnsi="Verdana" w:cs="Arial"/>
        </w:rPr>
      </w:pPr>
      <w:r w:rsidRPr="0001531B">
        <w:rPr>
          <w:rFonts w:ascii="Verdana" w:hAnsi="Verdana" w:cs="Arial"/>
        </w:rPr>
        <w:t xml:space="preserve">Los Convenios de Ginebra de 12 de agosto de 1949 y su Protocolo Adicional I de 1977, además de otros instrumentos de Derecho Internacional Humanitario, establecen la obligación de los Estados Partes, entre los que se encuentra España, de difundir sus preceptos entre la sociedad civil y fomentar su estudio por parte de las Fuerzas Armadas (artículo 83 del Protocolo I de 1977, Adicional a los Convenios de Ginebra). </w:t>
      </w:r>
    </w:p>
    <w:p w14:paraId="4CCE9DB4"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Entre los objetivos generales y fines de la Cruz Roja Española destaca la difusión y enseñanza del Derecho internacional humanitario, la cooperación internacional y la preparación en tiempo de paz para actuar, en caso de conflicto armado, a favor de todas las víctimas civiles y militares (artículo 2 del Real Decreto 415/1996, de 1 de marzo, por el que se establecen las normas de ordenación de la Cruz Roja Española.)</w:t>
      </w:r>
    </w:p>
    <w:p w14:paraId="2D84DC4E"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 xml:space="preserve">En cumplimiento de este mandato y, más específicamente, en consonancia con los objetivos aprobados en 2015 por la Asamblea General, CRE ha continuado colaborando con el Ministerio de Defensa y desarrollando cada año un Plan de Acción, derivado del Convenio de colaboración suscrito en 2004 con dicho Ministerio. </w:t>
      </w:r>
    </w:p>
    <w:p w14:paraId="5D0474FA"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En estos planes de acción se incluyen distintas líneas de colaboración, entre ellas, la formación y difusión del Derecho Internacional Humanitario:</w:t>
      </w:r>
    </w:p>
    <w:tbl>
      <w:tblPr>
        <w:tblStyle w:val="Tablaconcuadrcula"/>
        <w:tblW w:w="0" w:type="auto"/>
        <w:tblLook w:val="04A0" w:firstRow="1" w:lastRow="0" w:firstColumn="1" w:lastColumn="0" w:noHBand="0" w:noVBand="1"/>
      </w:tblPr>
      <w:tblGrid>
        <w:gridCol w:w="1083"/>
        <w:gridCol w:w="7411"/>
      </w:tblGrid>
      <w:tr w:rsidR="0001531B" w:rsidRPr="0001531B" w14:paraId="71E8AF3B" w14:textId="77777777" w:rsidTr="00FA60C3">
        <w:tc>
          <w:tcPr>
            <w:tcW w:w="1101" w:type="dxa"/>
            <w:vAlign w:val="center"/>
          </w:tcPr>
          <w:p w14:paraId="0F087018"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1</w:t>
            </w:r>
          </w:p>
        </w:tc>
        <w:tc>
          <w:tcPr>
            <w:tcW w:w="7543" w:type="dxa"/>
            <w:vAlign w:val="center"/>
          </w:tcPr>
          <w:p w14:paraId="51C0F0F4"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Cursos dirigidos a los Asesores Jurídicos de las Fuerzas Armadas</w:t>
            </w:r>
          </w:p>
        </w:tc>
      </w:tr>
      <w:tr w:rsidR="0001531B" w:rsidRPr="0001531B" w14:paraId="715F0009" w14:textId="77777777" w:rsidTr="00FA60C3">
        <w:tc>
          <w:tcPr>
            <w:tcW w:w="1101" w:type="dxa"/>
            <w:vAlign w:val="center"/>
          </w:tcPr>
          <w:p w14:paraId="06976E89"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2</w:t>
            </w:r>
          </w:p>
        </w:tc>
        <w:tc>
          <w:tcPr>
            <w:tcW w:w="7543" w:type="dxa"/>
            <w:vAlign w:val="center"/>
          </w:tcPr>
          <w:p w14:paraId="7A783A3C"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Cursos dirigidos a alumnos del Cuerpo Jurídico Militar</w:t>
            </w:r>
          </w:p>
        </w:tc>
      </w:tr>
      <w:tr w:rsidR="0001531B" w:rsidRPr="0001531B" w14:paraId="1F998411" w14:textId="77777777" w:rsidTr="00FA60C3">
        <w:tc>
          <w:tcPr>
            <w:tcW w:w="1101" w:type="dxa"/>
            <w:vAlign w:val="center"/>
          </w:tcPr>
          <w:p w14:paraId="64915D5E"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3</w:t>
            </w:r>
          </w:p>
        </w:tc>
        <w:tc>
          <w:tcPr>
            <w:tcW w:w="7543" w:type="dxa"/>
            <w:vAlign w:val="center"/>
          </w:tcPr>
          <w:p w14:paraId="37B7C1FB"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Cursos dirigidos a Oficiales de las Fuerzas Armadas</w:t>
            </w:r>
          </w:p>
        </w:tc>
      </w:tr>
      <w:tr w:rsidR="0001531B" w:rsidRPr="0001531B" w14:paraId="7A451486" w14:textId="77777777" w:rsidTr="00FA60C3">
        <w:tc>
          <w:tcPr>
            <w:tcW w:w="1101" w:type="dxa"/>
            <w:vAlign w:val="center"/>
          </w:tcPr>
          <w:p w14:paraId="5F6C3765"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lastRenderedPageBreak/>
              <w:t>4</w:t>
            </w:r>
          </w:p>
        </w:tc>
        <w:tc>
          <w:tcPr>
            <w:tcW w:w="7543" w:type="dxa"/>
            <w:vAlign w:val="center"/>
          </w:tcPr>
          <w:p w14:paraId="559618DF"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Cursos para observadores de misiones de paz, realizados en la Escuela de Guerra del Ejército</w:t>
            </w:r>
          </w:p>
        </w:tc>
      </w:tr>
      <w:tr w:rsidR="0001531B" w:rsidRPr="0001531B" w14:paraId="50F73BAC" w14:textId="77777777" w:rsidTr="00FA60C3">
        <w:tc>
          <w:tcPr>
            <w:tcW w:w="1101" w:type="dxa"/>
            <w:vAlign w:val="center"/>
          </w:tcPr>
          <w:p w14:paraId="47316000"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5</w:t>
            </w:r>
          </w:p>
        </w:tc>
        <w:tc>
          <w:tcPr>
            <w:tcW w:w="7543" w:type="dxa"/>
            <w:vAlign w:val="center"/>
          </w:tcPr>
          <w:p w14:paraId="4C3CBBA3"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Cursos de ascenso y de adaptación, realizados en la Escuela de Guerra Naval</w:t>
            </w:r>
          </w:p>
        </w:tc>
      </w:tr>
      <w:tr w:rsidR="0001531B" w:rsidRPr="0001531B" w14:paraId="3A21B915" w14:textId="77777777" w:rsidTr="00FA60C3">
        <w:tc>
          <w:tcPr>
            <w:tcW w:w="1101" w:type="dxa"/>
            <w:vAlign w:val="center"/>
          </w:tcPr>
          <w:p w14:paraId="37B91F0F"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6</w:t>
            </w:r>
          </w:p>
        </w:tc>
        <w:tc>
          <w:tcPr>
            <w:tcW w:w="7543" w:type="dxa"/>
            <w:vAlign w:val="center"/>
          </w:tcPr>
          <w:p w14:paraId="53E959AA"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Cursos realizados en distintos acuartelamientos militares (Extremadura, Valencia, País Vasco, Cádiz, Valladolid, León, Zaragoza, etc..).</w:t>
            </w:r>
          </w:p>
        </w:tc>
      </w:tr>
    </w:tbl>
    <w:p w14:paraId="3AC62ACE" w14:textId="77777777" w:rsidR="0001531B" w:rsidRPr="0001531B" w:rsidRDefault="0001531B" w:rsidP="0001531B">
      <w:pPr>
        <w:autoSpaceDE w:val="0"/>
        <w:autoSpaceDN w:val="0"/>
        <w:spacing w:after="200"/>
        <w:rPr>
          <w:rFonts w:ascii="Verdana" w:hAnsi="Verdana" w:cs="Arial"/>
        </w:rPr>
      </w:pPr>
    </w:p>
    <w:p w14:paraId="5F64E1F2" w14:textId="77777777" w:rsidR="0001531B" w:rsidRPr="0001531B" w:rsidRDefault="0001531B" w:rsidP="0001531B">
      <w:pPr>
        <w:numPr>
          <w:ilvl w:val="0"/>
          <w:numId w:val="6"/>
        </w:numPr>
        <w:autoSpaceDE w:val="0"/>
        <w:autoSpaceDN w:val="0"/>
        <w:spacing w:after="200"/>
        <w:rPr>
          <w:rFonts w:ascii="Verdana" w:hAnsi="Verdana" w:cs="Arial"/>
          <w:b/>
          <w:lang w:val="es-ES_tradnl"/>
        </w:rPr>
      </w:pPr>
      <w:r w:rsidRPr="0001531B">
        <w:rPr>
          <w:rFonts w:ascii="Verdana" w:hAnsi="Verdana" w:cs="Arial"/>
          <w:b/>
          <w:u w:val="single"/>
          <w:lang w:val="es-ES_tradnl"/>
        </w:rPr>
        <w:t>Formación dirigida a las FFAA</w:t>
      </w:r>
    </w:p>
    <w:p w14:paraId="3C3CFB33"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Dentro del ámbito de la Formación dirigida a las Fuerzas Armadas, es necesario mencionar la consolidación de una plataforma de formación a distancia, a través de la cual se imparte un curso anual de 125 horas de duración, dirigida a un promedio de cuarenta participantes, previamente seleccionados por el Ministerio de Defensa</w:t>
      </w:r>
    </w:p>
    <w:p w14:paraId="0A7D97CA"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 xml:space="preserve">Esta formación no sólo se ha realizado en España, también se han puesto en marcha actividades formativas dirigidas las Fuerzas Armadas de países iberoamericanos. Así, se ha diseñado un seminario online de Derecho de los Conflictos Armados dirigido a los Colegios de Defensa Iberoamericanos y Universidades del mismo ámbito, a través de un sistema de teleconferencias dirigido a un público potencial de miles de personas.  </w:t>
      </w:r>
    </w:p>
    <w:p w14:paraId="0F34E612"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Además, a lo largo del periodo también se han organizado actividades formativas dirigidas a miembros de la Guardia Civil y de la Policía; en particular, Cruz Roja Española colabora estrechamente con el Centro de Formación y Perfeccionamiento de la Policía Nacional, realizando cursos de Derechos Humanos y Derecho Internacional Humanitario dirigidos a personal policial que se incorporará a misiones en el exterior, en situaciones de postconflicto.</w:t>
      </w:r>
    </w:p>
    <w:p w14:paraId="7B6AF12A" w14:textId="77777777" w:rsidR="0001531B" w:rsidRPr="0001531B" w:rsidRDefault="0001531B" w:rsidP="0001531B">
      <w:pPr>
        <w:autoSpaceDE w:val="0"/>
        <w:autoSpaceDN w:val="0"/>
        <w:spacing w:after="200"/>
        <w:rPr>
          <w:rFonts w:ascii="Verdana" w:hAnsi="Verdana" w:cs="Arial"/>
        </w:rPr>
      </w:pPr>
    </w:p>
    <w:p w14:paraId="50B2D40A" w14:textId="77777777" w:rsidR="0001531B" w:rsidRPr="0001531B" w:rsidRDefault="0001531B" w:rsidP="0001531B">
      <w:pPr>
        <w:numPr>
          <w:ilvl w:val="0"/>
          <w:numId w:val="6"/>
        </w:numPr>
        <w:autoSpaceDE w:val="0"/>
        <w:autoSpaceDN w:val="0"/>
        <w:spacing w:after="200"/>
        <w:rPr>
          <w:rFonts w:ascii="Verdana" w:hAnsi="Verdana" w:cs="Arial"/>
          <w:b/>
          <w:lang w:val="es-ES_tradnl"/>
        </w:rPr>
      </w:pPr>
      <w:r w:rsidRPr="0001531B">
        <w:rPr>
          <w:rFonts w:ascii="Verdana" w:hAnsi="Verdana" w:cs="Arial"/>
          <w:b/>
          <w:u w:val="single"/>
          <w:lang w:val="es-ES_tradnl"/>
        </w:rPr>
        <w:t>Formación dirigida a la población civil</w:t>
      </w:r>
      <w:r w:rsidRPr="0001531B">
        <w:rPr>
          <w:rFonts w:ascii="Verdana" w:hAnsi="Verdana" w:cs="Arial"/>
          <w:b/>
          <w:lang w:val="es-ES_tradnl"/>
        </w:rPr>
        <w:t xml:space="preserve"> </w:t>
      </w:r>
    </w:p>
    <w:p w14:paraId="777D602B"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b/>
        </w:rPr>
        <w:lastRenderedPageBreak/>
        <w:drawing>
          <wp:anchor distT="0" distB="0" distL="114300" distR="114300" simplePos="0" relativeHeight="251661312" behindDoc="1" locked="0" layoutInCell="1" allowOverlap="1" wp14:anchorId="6641C059" wp14:editId="037CF2A6">
            <wp:simplePos x="0" y="0"/>
            <wp:positionH relativeFrom="column">
              <wp:posOffset>1905</wp:posOffset>
            </wp:positionH>
            <wp:positionV relativeFrom="paragraph">
              <wp:posOffset>635</wp:posOffset>
            </wp:positionV>
            <wp:extent cx="2887200" cy="1994400"/>
            <wp:effectExtent l="0" t="0" r="8890" b="6350"/>
            <wp:wrapTight wrapText="bothSides">
              <wp:wrapPolygon edited="0">
                <wp:start x="0" y="0"/>
                <wp:lineTo x="0" y="21462"/>
                <wp:lineTo x="21524" y="21462"/>
                <wp:lineTo x="21524"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7200" cy="199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31B">
        <w:rPr>
          <w:rFonts w:ascii="Verdana" w:hAnsi="Verdana" w:cs="Arial"/>
        </w:rPr>
        <w:t xml:space="preserve"> Por otro lado, fruto de distintos Convenios de Colaboración, Cruz Roja ha impartido formación en DIH y Derechos Humanos en diversas Universidades, entre otras, Carlos III, Complutense, Rey Juan Carlos, Autónoma de Madrid, Valencia, Rovira y Virgilii, Instituto Universitario General Gutierrez Mellado, etc… </w:t>
      </w:r>
    </w:p>
    <w:p w14:paraId="1FDF37FA"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 xml:space="preserve">Se ha puesto en marcha también una formación en Derecho Internacional Humanitario, dirigida a la población, de 125 horas, a través de la plataforma de formación a distancia.  </w:t>
      </w:r>
    </w:p>
    <w:p w14:paraId="51732A17" w14:textId="77777777" w:rsidR="0001531B" w:rsidRPr="0001531B" w:rsidRDefault="0001531B" w:rsidP="0001531B">
      <w:pPr>
        <w:autoSpaceDE w:val="0"/>
        <w:autoSpaceDN w:val="0"/>
        <w:spacing w:after="200"/>
        <w:rPr>
          <w:rFonts w:ascii="Verdana" w:hAnsi="Verdana" w:cs="Arial"/>
        </w:rPr>
      </w:pPr>
    </w:p>
    <w:p w14:paraId="4A229E01"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 xml:space="preserve">Otra actividad de formación a distancia, de un nivel más básico, en materia de Derecho Internacional Humanitario es la que se desarrolla a través del Proyecto “Exploremos el Derecho Humanitario”. El objetivo es dar a conocer el DIH como un conjunto de normas que establecen límites en los conflictos armados y protegen a sus víctimas, así como fomentar un sentimiento de responsabilidad respecto al reconocimiento de los principios y valores humanitarios que promuevan una cultura de la paz. </w:t>
      </w:r>
    </w:p>
    <w:p w14:paraId="2D146A8D"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Por otra parte, se ha puesto disposición de cualquier persona interesada, con carácter gratuito, un curso de autoformación en Derecho Internacional Humanitario, en general, y otros cursos relativos a cuestiones más específicas: privación de libertad y asistencia de salud en peligro. Se trata de una formación desarrollada por el CICR, en cuya elaboración, ha colaborado Cruz Roja Española.</w:t>
      </w:r>
    </w:p>
    <w:p w14:paraId="03486311" w14:textId="77777777" w:rsidR="0001531B" w:rsidRPr="0001531B" w:rsidRDefault="0001531B" w:rsidP="0001531B">
      <w:pPr>
        <w:autoSpaceDE w:val="0"/>
        <w:autoSpaceDN w:val="0"/>
        <w:spacing w:after="200"/>
        <w:rPr>
          <w:rFonts w:ascii="Verdana" w:hAnsi="Verdana" w:cs="Arial"/>
        </w:rPr>
      </w:pPr>
    </w:p>
    <w:p w14:paraId="0B0D2D5D" w14:textId="77777777" w:rsidR="0001531B" w:rsidRPr="0001531B" w:rsidRDefault="0001531B" w:rsidP="0001531B">
      <w:pPr>
        <w:autoSpaceDE w:val="0"/>
        <w:autoSpaceDN w:val="0"/>
        <w:spacing w:after="200"/>
        <w:rPr>
          <w:rFonts w:ascii="Verdana" w:hAnsi="Verdana" w:cs="Arial"/>
          <w:b/>
        </w:rPr>
      </w:pPr>
      <w:r w:rsidRPr="0001531B">
        <w:rPr>
          <w:rFonts w:ascii="Verdana" w:hAnsi="Verdana" w:cs="Arial"/>
          <w:b/>
        </w:rPr>
        <w:drawing>
          <wp:inline distT="0" distB="0" distL="0" distR="0" wp14:anchorId="6B757563" wp14:editId="142541D1">
            <wp:extent cx="1424940" cy="1909610"/>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7964" cy="1927065"/>
                    </a:xfrm>
                    <a:prstGeom prst="rect">
                      <a:avLst/>
                    </a:prstGeom>
                    <a:noFill/>
                    <a:ln>
                      <a:noFill/>
                    </a:ln>
                  </pic:spPr>
                </pic:pic>
              </a:graphicData>
            </a:graphic>
          </wp:inline>
        </w:drawing>
      </w:r>
      <w:r w:rsidRPr="0001531B">
        <w:rPr>
          <w:rFonts w:ascii="Verdana" w:hAnsi="Verdana" w:cs="Arial"/>
          <w:b/>
        </w:rPr>
        <w:t xml:space="preserve">                                             </w:t>
      </w:r>
      <w:r w:rsidRPr="0001531B">
        <w:rPr>
          <w:rFonts w:ascii="Verdana" w:hAnsi="Verdana" w:cs="Arial"/>
          <w:b/>
        </w:rPr>
        <w:drawing>
          <wp:inline distT="0" distB="0" distL="0" distR="0" wp14:anchorId="745AA34C" wp14:editId="54379989">
            <wp:extent cx="1363980" cy="1898130"/>
            <wp:effectExtent l="0" t="0" r="762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097" cy="1916384"/>
                    </a:xfrm>
                    <a:prstGeom prst="rect">
                      <a:avLst/>
                    </a:prstGeom>
                    <a:noFill/>
                    <a:ln>
                      <a:noFill/>
                    </a:ln>
                  </pic:spPr>
                </pic:pic>
              </a:graphicData>
            </a:graphic>
          </wp:inline>
        </w:drawing>
      </w:r>
    </w:p>
    <w:p w14:paraId="13920662" w14:textId="77777777" w:rsidR="0001531B" w:rsidRPr="0001531B" w:rsidRDefault="0001531B" w:rsidP="0001531B">
      <w:pPr>
        <w:autoSpaceDE w:val="0"/>
        <w:autoSpaceDN w:val="0"/>
        <w:spacing w:after="200"/>
        <w:rPr>
          <w:rFonts w:ascii="Verdana" w:hAnsi="Verdana" w:cs="Arial"/>
          <w:b/>
        </w:rPr>
      </w:pPr>
    </w:p>
    <w:p w14:paraId="640B8D8B" w14:textId="77777777" w:rsidR="0001531B" w:rsidRPr="0001531B" w:rsidRDefault="0001531B" w:rsidP="0001531B">
      <w:pPr>
        <w:autoSpaceDE w:val="0"/>
        <w:autoSpaceDN w:val="0"/>
        <w:spacing w:after="200"/>
        <w:rPr>
          <w:rFonts w:ascii="Verdana" w:hAnsi="Verdana" w:cs="Arial"/>
          <w:b/>
        </w:rPr>
      </w:pPr>
      <w:r w:rsidRPr="0001531B">
        <w:rPr>
          <w:rFonts w:ascii="Verdana" w:hAnsi="Verdana" w:cs="Arial"/>
          <w:b/>
        </w:rPr>
        <w:lastRenderedPageBreak/>
        <w:drawing>
          <wp:inline distT="0" distB="0" distL="0" distR="0" wp14:anchorId="740A1194" wp14:editId="415161C9">
            <wp:extent cx="1440180" cy="1936791"/>
            <wp:effectExtent l="0" t="0" r="762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9651" cy="1949528"/>
                    </a:xfrm>
                    <a:prstGeom prst="rect">
                      <a:avLst/>
                    </a:prstGeom>
                    <a:noFill/>
                    <a:ln>
                      <a:noFill/>
                    </a:ln>
                  </pic:spPr>
                </pic:pic>
              </a:graphicData>
            </a:graphic>
          </wp:inline>
        </w:drawing>
      </w:r>
      <w:r w:rsidRPr="0001531B">
        <w:rPr>
          <w:rFonts w:ascii="Verdana" w:hAnsi="Verdana" w:cs="Arial"/>
          <w:b/>
        </w:rPr>
        <w:t xml:space="preserve">                                             </w:t>
      </w:r>
      <w:r w:rsidRPr="0001531B">
        <w:rPr>
          <w:rFonts w:ascii="Verdana" w:hAnsi="Verdana" w:cs="Arial"/>
          <w:b/>
        </w:rPr>
        <w:drawing>
          <wp:inline distT="0" distB="0" distL="0" distR="0" wp14:anchorId="6A214225" wp14:editId="18F37563">
            <wp:extent cx="1409700" cy="191245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0669" cy="1927339"/>
                    </a:xfrm>
                    <a:prstGeom prst="rect">
                      <a:avLst/>
                    </a:prstGeom>
                    <a:noFill/>
                    <a:ln>
                      <a:noFill/>
                    </a:ln>
                  </pic:spPr>
                </pic:pic>
              </a:graphicData>
            </a:graphic>
          </wp:inline>
        </w:drawing>
      </w:r>
    </w:p>
    <w:p w14:paraId="2A42080B" w14:textId="77777777" w:rsidR="0001531B" w:rsidRPr="0001531B" w:rsidRDefault="0001531B" w:rsidP="0001531B">
      <w:pPr>
        <w:autoSpaceDE w:val="0"/>
        <w:autoSpaceDN w:val="0"/>
        <w:spacing w:after="200"/>
        <w:rPr>
          <w:rFonts w:ascii="Verdana" w:hAnsi="Verdana" w:cs="Arial"/>
          <w:b/>
          <w:lang w:val="es-ES_tradnl"/>
        </w:rPr>
      </w:pPr>
      <w:r w:rsidRPr="0001531B">
        <w:rPr>
          <w:rFonts w:ascii="Verdana" w:hAnsi="Verdana" w:cs="Arial"/>
          <w:b/>
          <w:lang w:val="es-ES_tradnl"/>
        </w:rPr>
        <w:br w:type="page"/>
      </w:r>
    </w:p>
    <w:p w14:paraId="423B576D" w14:textId="77777777" w:rsidR="0001531B" w:rsidRPr="0001531B" w:rsidRDefault="0001531B" w:rsidP="0001531B">
      <w:pPr>
        <w:autoSpaceDE w:val="0"/>
        <w:autoSpaceDN w:val="0"/>
        <w:spacing w:after="200"/>
        <w:rPr>
          <w:rFonts w:ascii="Verdana" w:hAnsi="Verdana" w:cs="Arial"/>
          <w:b/>
          <w:lang w:val="es-ES_tradnl"/>
        </w:rPr>
      </w:pPr>
    </w:p>
    <w:p w14:paraId="7995CABC" w14:textId="77777777" w:rsidR="0001531B" w:rsidRPr="0001531B" w:rsidRDefault="0001531B" w:rsidP="0001531B">
      <w:pPr>
        <w:numPr>
          <w:ilvl w:val="0"/>
          <w:numId w:val="6"/>
        </w:numPr>
        <w:autoSpaceDE w:val="0"/>
        <w:autoSpaceDN w:val="0"/>
        <w:spacing w:after="200"/>
        <w:rPr>
          <w:rFonts w:ascii="Verdana" w:hAnsi="Verdana" w:cs="Arial"/>
          <w:b/>
          <w:lang w:val="es-ES_tradnl"/>
        </w:rPr>
      </w:pPr>
      <w:r w:rsidRPr="0001531B">
        <w:rPr>
          <w:rFonts w:ascii="Verdana" w:hAnsi="Verdana" w:cs="Arial"/>
          <w:b/>
          <w:u w:val="single"/>
          <w:lang w:val="es-ES_tradnl"/>
        </w:rPr>
        <w:t>Formación dirigida a los miembros de Cruz Roja</w:t>
      </w:r>
    </w:p>
    <w:p w14:paraId="028F7BD9"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drawing>
          <wp:anchor distT="0" distB="0" distL="114300" distR="114300" simplePos="0" relativeHeight="251659264" behindDoc="1" locked="0" layoutInCell="1" allowOverlap="1" wp14:anchorId="4EEB18AD" wp14:editId="2C1E8A27">
            <wp:simplePos x="0" y="0"/>
            <wp:positionH relativeFrom="column">
              <wp:posOffset>-112395</wp:posOffset>
            </wp:positionH>
            <wp:positionV relativeFrom="paragraph">
              <wp:posOffset>132080</wp:posOffset>
            </wp:positionV>
            <wp:extent cx="1455420" cy="2044065"/>
            <wp:effectExtent l="0" t="0" r="0" b="0"/>
            <wp:wrapTight wrapText="bothSides">
              <wp:wrapPolygon edited="0">
                <wp:start x="0" y="0"/>
                <wp:lineTo x="0" y="21338"/>
                <wp:lineTo x="21204" y="21338"/>
                <wp:lineTo x="21204"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5420" cy="204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31B">
        <w:rPr>
          <w:rFonts w:ascii="Verdana" w:hAnsi="Verdana" w:cs="Arial"/>
        </w:rPr>
        <w:t>Los materiales básicos que, a nivel interno, se están utilizando para las actividades de formación y sensibilización   en materia de Principios Fundamentales, Derechos Humanos y Derecho Internacional Humanitario están contenidos en las guías de promotores/as de Principios y Valores.</w:t>
      </w:r>
    </w:p>
    <w:p w14:paraId="558ED686"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t>Se continúa trabajando en la consolidación y desarrollo de la red de Promotores/as, de modo que cada vez son más las actividades que en este ámbito se desarrollan través de la red.</w:t>
      </w:r>
    </w:p>
    <w:p w14:paraId="63C8B057" w14:textId="77777777" w:rsidR="0001531B" w:rsidRPr="0001531B" w:rsidRDefault="0001531B" w:rsidP="0001531B">
      <w:pPr>
        <w:autoSpaceDE w:val="0"/>
        <w:autoSpaceDN w:val="0"/>
        <w:spacing w:after="200"/>
        <w:rPr>
          <w:rFonts w:ascii="Verdana" w:hAnsi="Verdana" w:cs="Arial"/>
        </w:rPr>
      </w:pPr>
    </w:p>
    <w:p w14:paraId="2521EC66" w14:textId="77777777" w:rsidR="0001531B" w:rsidRPr="0001531B" w:rsidRDefault="0001531B" w:rsidP="0001531B">
      <w:pPr>
        <w:autoSpaceDE w:val="0"/>
        <w:autoSpaceDN w:val="0"/>
        <w:spacing w:after="200"/>
        <w:rPr>
          <w:rFonts w:ascii="Verdana" w:hAnsi="Verdana" w:cs="Arial"/>
        </w:rPr>
      </w:pPr>
      <w:r w:rsidRPr="0001531B">
        <w:rPr>
          <w:rFonts w:ascii="Verdana" w:hAnsi="Verdana" w:cs="Arial"/>
        </w:rPr>
        <w:drawing>
          <wp:anchor distT="0" distB="0" distL="114300" distR="114300" simplePos="0" relativeHeight="251660288" behindDoc="1" locked="0" layoutInCell="1" allowOverlap="1" wp14:anchorId="2AA6C3D3" wp14:editId="5AB33E55">
            <wp:simplePos x="0" y="0"/>
            <wp:positionH relativeFrom="column">
              <wp:posOffset>-120015</wp:posOffset>
            </wp:positionH>
            <wp:positionV relativeFrom="paragraph">
              <wp:posOffset>60325</wp:posOffset>
            </wp:positionV>
            <wp:extent cx="1450340" cy="1988820"/>
            <wp:effectExtent l="0" t="0" r="0" b="0"/>
            <wp:wrapTight wrapText="bothSides">
              <wp:wrapPolygon edited="0">
                <wp:start x="0" y="0"/>
                <wp:lineTo x="0" y="21310"/>
                <wp:lineTo x="21278" y="21310"/>
                <wp:lineTo x="21278"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034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31B">
        <w:rPr>
          <w:rFonts w:ascii="Verdana" w:hAnsi="Verdana" w:cs="Arial"/>
        </w:rPr>
        <w:t xml:space="preserve">Quienes participan en esta formación, reciben un sencillo manual que intenta sintetizar los contenidos más importantes en materia de Derechos Humanos, Derecho Internacional Humanitario y Principios Fundamentales.   El enfoque pretende ser eminentemente práctico, en especial, la parte relativa a los Principios, cuyo estudio se propone desde la perspectiva de su aplicabilidad, analizando y trabajando distintas situaciones cotidianas en las que se plantean distintos dilemas sobre la aplicación de los Principios. </w:t>
      </w:r>
    </w:p>
    <w:p w14:paraId="2176C306" w14:textId="77777777" w:rsidR="0001531B" w:rsidRPr="0001531B" w:rsidRDefault="0001531B" w:rsidP="0001531B">
      <w:pPr>
        <w:autoSpaceDE w:val="0"/>
        <w:autoSpaceDN w:val="0"/>
        <w:spacing w:after="200"/>
        <w:rPr>
          <w:rFonts w:ascii="Verdana" w:hAnsi="Verdana" w:cs="Arial"/>
        </w:rPr>
      </w:pPr>
    </w:p>
    <w:p w14:paraId="642478F8" w14:textId="77777777" w:rsidR="0001531B" w:rsidRPr="0001531B" w:rsidRDefault="0001531B" w:rsidP="0001531B">
      <w:pPr>
        <w:autoSpaceDE w:val="0"/>
        <w:autoSpaceDN w:val="0"/>
        <w:spacing w:after="200"/>
        <w:rPr>
          <w:rFonts w:ascii="Verdana" w:hAnsi="Verdana" w:cs="Arial"/>
        </w:rPr>
      </w:pPr>
    </w:p>
    <w:p w14:paraId="1E2E9799" w14:textId="13A8FF80" w:rsidR="009B6112" w:rsidRDefault="009B6112" w:rsidP="009B6112">
      <w:pPr>
        <w:autoSpaceDE w:val="0"/>
        <w:autoSpaceDN w:val="0"/>
        <w:spacing w:after="200"/>
        <w:rPr>
          <w:rFonts w:ascii="Verdana" w:hAnsi="Verdana" w:cs="Arial"/>
        </w:rPr>
      </w:pPr>
    </w:p>
    <w:p w14:paraId="555E93BC" w14:textId="77777777" w:rsidR="0001531B" w:rsidRDefault="0001531B" w:rsidP="009B6112">
      <w:pPr>
        <w:autoSpaceDE w:val="0"/>
        <w:autoSpaceDN w:val="0"/>
        <w:spacing w:after="200"/>
        <w:rPr>
          <w:rFonts w:ascii="Verdana" w:hAnsi="Verdana" w:cs="Arial"/>
        </w:rPr>
      </w:pPr>
    </w:p>
    <w:p w14:paraId="4C639B8D" w14:textId="5E7EB82E" w:rsidR="009B6112" w:rsidRDefault="009B6112" w:rsidP="009B6112">
      <w:pPr>
        <w:autoSpaceDE w:val="0"/>
        <w:autoSpaceDN w:val="0"/>
        <w:spacing w:after="200"/>
        <w:rPr>
          <w:rFonts w:ascii="Verdana" w:hAnsi="Verdana" w:cs="Arial"/>
        </w:rPr>
      </w:pPr>
    </w:p>
    <w:p w14:paraId="3E6C9E45" w14:textId="489320C1" w:rsidR="009B6112" w:rsidRDefault="009B6112" w:rsidP="009B6112">
      <w:pPr>
        <w:autoSpaceDE w:val="0"/>
        <w:autoSpaceDN w:val="0"/>
        <w:spacing w:after="200"/>
        <w:rPr>
          <w:rFonts w:ascii="Verdana" w:hAnsi="Verdana" w:cs="Arial"/>
        </w:rPr>
      </w:pPr>
    </w:p>
    <w:p w14:paraId="4F5C6DD2" w14:textId="0A5117EB" w:rsidR="009B6112" w:rsidRDefault="009B6112" w:rsidP="009B6112">
      <w:pPr>
        <w:autoSpaceDE w:val="0"/>
        <w:autoSpaceDN w:val="0"/>
        <w:spacing w:after="200"/>
        <w:jc w:val="right"/>
        <w:rPr>
          <w:rFonts w:ascii="Verdana" w:hAnsi="Verdana" w:cs="Arial"/>
        </w:rPr>
      </w:pPr>
      <w:r>
        <w:rPr>
          <w:rFonts w:ascii="Verdana" w:hAnsi="Verdana" w:cs="Arial"/>
        </w:rPr>
        <w:t>Julio 2019</w:t>
      </w:r>
    </w:p>
    <w:sectPr w:rsidR="009B6112">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EB697" w14:textId="77777777" w:rsidR="00CA6EAB" w:rsidRDefault="00CA6EAB" w:rsidP="00CA6EAB">
      <w:pPr>
        <w:spacing w:after="0" w:line="240" w:lineRule="auto"/>
      </w:pPr>
      <w:r>
        <w:separator/>
      </w:r>
    </w:p>
  </w:endnote>
  <w:endnote w:type="continuationSeparator" w:id="0">
    <w:p w14:paraId="0C176FEE" w14:textId="77777777" w:rsidR="00CA6EAB" w:rsidRDefault="00CA6EAB" w:rsidP="00CA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DE7F" w14:textId="465CD01A" w:rsidR="00213477" w:rsidRDefault="00213477">
    <w:pPr>
      <w:pStyle w:val="Piedepgina"/>
      <w:pBdr>
        <w:bottom w:val="single" w:sz="6" w:space="1" w:color="auto"/>
      </w:pBdr>
      <w:rPr>
        <w:sz w:val="16"/>
        <w:szCs w:val="16"/>
      </w:rPr>
    </w:pPr>
  </w:p>
  <w:p w14:paraId="6A9F3115" w14:textId="75ED6B54" w:rsidR="00213477" w:rsidRDefault="00213477">
    <w:pPr>
      <w:pStyle w:val="Piedepgina"/>
    </w:pPr>
    <w:r w:rsidRPr="00213477">
      <w:rPr>
        <w:sz w:val="16"/>
        <w:szCs w:val="16"/>
      </w:rPr>
      <w:fldChar w:fldCharType="begin"/>
    </w:r>
    <w:r w:rsidRPr="00213477">
      <w:rPr>
        <w:sz w:val="16"/>
        <w:szCs w:val="16"/>
      </w:rPr>
      <w:instrText xml:space="preserve"> FILENAME \p \* MERGEFORMAT </w:instrText>
    </w:r>
    <w:r w:rsidRPr="00213477">
      <w:rPr>
        <w:sz w:val="16"/>
        <w:szCs w:val="16"/>
      </w:rPr>
      <w:fldChar w:fldCharType="separate"/>
    </w:r>
    <w:r w:rsidRPr="00213477">
      <w:rPr>
        <w:noProof/>
        <w:sz w:val="16"/>
        <w:szCs w:val="16"/>
      </w:rPr>
      <w:t>https://cruzrojaes-my.sharepoint.com/personal/mbr_cruzroja_es/Documents/2019 REUNIONES ESTATUTARIAS 2019/3 CONFERENCIA INTERNACIONAL/3 PROMESAS/2015/Nueva carpeta/Promesa 20_OPS 32055.docx</w:t>
    </w:r>
    <w:r w:rsidRPr="00213477">
      <w:rPr>
        <w:sz w:val="16"/>
        <w:szCs w:val="16"/>
      </w:rPr>
      <w:fldChar w:fldCharType="end"/>
    </w:r>
    <w:r>
      <w:ptab w:relativeTo="margin" w:alignment="center" w:leader="none"/>
    </w:r>
    <w:r>
      <w:ptab w:relativeTo="margin" w:alignment="right" w:leader="none"/>
    </w:r>
    <w:r>
      <w:fldChar w:fldCharType="begin"/>
    </w:r>
    <w:r>
      <w:instrText xml:space="preserve"> PAGE  \* Arabic  \* MERGEFORMAT </w:instrText>
    </w:r>
    <w:r>
      <w:fldChar w:fldCharType="separate"/>
    </w:r>
    <w:r w:rsidR="0001531B">
      <w:rPr>
        <w:noProof/>
      </w:rPr>
      <w:t>1</w:t>
    </w:r>
    <w:r>
      <w:fldChar w:fldCharType="end"/>
    </w:r>
    <w:r>
      <w:t xml:space="preserve"> de </w:t>
    </w:r>
    <w:fldSimple w:instr=" NUMPAGES  \* Arabic  \* MERGEFORMAT ">
      <w:r w:rsidR="0001531B">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8ED9" w14:textId="77777777" w:rsidR="00CA6EAB" w:rsidRDefault="00CA6EAB" w:rsidP="00CA6EAB">
      <w:pPr>
        <w:spacing w:after="0" w:line="240" w:lineRule="auto"/>
      </w:pPr>
      <w:r>
        <w:separator/>
      </w:r>
    </w:p>
  </w:footnote>
  <w:footnote w:type="continuationSeparator" w:id="0">
    <w:p w14:paraId="7AD43F52" w14:textId="77777777" w:rsidR="00CA6EAB" w:rsidRDefault="00CA6EAB" w:rsidP="00CA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534C" w14:textId="77777777" w:rsidR="00CA6EAB" w:rsidRDefault="00CA6EAB" w:rsidP="00CA6EAB">
    <w:pPr>
      <w:pStyle w:val="Encabezado"/>
      <w:ind w:hanging="709"/>
    </w:pPr>
    <w:r>
      <w:object w:dxaOrig="2544" w:dyaOrig="804" w14:anchorId="19D96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40.2pt">
          <v:imagedata r:id="rId1" o:title=""/>
        </v:shape>
        <o:OLEObject Type="Embed" ProgID="Imaging.Document" ShapeID="_x0000_i1025" DrawAspect="Content" ObjectID="_1626006927" r:id="rId2"/>
      </w:object>
    </w:r>
  </w:p>
  <w:p w14:paraId="383972B0" w14:textId="77777777" w:rsidR="00CA6EAB" w:rsidRDefault="00CA6EAB">
    <w:pPr>
      <w:pStyle w:val="Encabezado"/>
    </w:pPr>
  </w:p>
  <w:p w14:paraId="0EF188E1" w14:textId="77777777" w:rsidR="00CA6EAB" w:rsidRDefault="00CA6EAB" w:rsidP="00CA6EAB">
    <w:pPr>
      <w:pStyle w:val="Encabezado"/>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6BA"/>
    <w:multiLevelType w:val="hybridMultilevel"/>
    <w:tmpl w:val="339421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F130B09"/>
    <w:multiLevelType w:val="hybridMultilevel"/>
    <w:tmpl w:val="D0A831A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14FF26A3"/>
    <w:multiLevelType w:val="hybridMultilevel"/>
    <w:tmpl w:val="7EB669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33992146"/>
    <w:multiLevelType w:val="hybridMultilevel"/>
    <w:tmpl w:val="4566C3CC"/>
    <w:lvl w:ilvl="0" w:tplc="16BC67B0">
      <w:start w:val="1"/>
      <w:numFmt w:val="decimal"/>
      <w:lvlText w:val="%1."/>
      <w:lvlJc w:val="left"/>
      <w:pPr>
        <w:ind w:left="720" w:hanging="360"/>
      </w:pPr>
    </w:lvl>
    <w:lvl w:ilvl="1" w:tplc="533CB3E6">
      <w:start w:val="1"/>
      <w:numFmt w:val="lowerLetter"/>
      <w:lvlText w:val="%2."/>
      <w:lvlJc w:val="left"/>
      <w:pPr>
        <w:ind w:left="1440" w:hanging="360"/>
      </w:pPr>
    </w:lvl>
    <w:lvl w:ilvl="2" w:tplc="F12E04D8">
      <w:start w:val="1"/>
      <w:numFmt w:val="lowerRoman"/>
      <w:lvlText w:val="%3."/>
      <w:lvlJc w:val="right"/>
      <w:pPr>
        <w:ind w:left="2160" w:hanging="180"/>
      </w:pPr>
    </w:lvl>
    <w:lvl w:ilvl="3" w:tplc="2422B622">
      <w:start w:val="1"/>
      <w:numFmt w:val="decimal"/>
      <w:lvlText w:val="%4."/>
      <w:lvlJc w:val="left"/>
      <w:pPr>
        <w:ind w:left="2880" w:hanging="360"/>
      </w:pPr>
    </w:lvl>
    <w:lvl w:ilvl="4" w:tplc="C62036A8">
      <w:start w:val="1"/>
      <w:numFmt w:val="lowerLetter"/>
      <w:lvlText w:val="%5."/>
      <w:lvlJc w:val="left"/>
      <w:pPr>
        <w:ind w:left="3600" w:hanging="360"/>
      </w:pPr>
    </w:lvl>
    <w:lvl w:ilvl="5" w:tplc="5ABC3D7E">
      <w:start w:val="1"/>
      <w:numFmt w:val="lowerRoman"/>
      <w:lvlText w:val="%6."/>
      <w:lvlJc w:val="right"/>
      <w:pPr>
        <w:ind w:left="4320" w:hanging="180"/>
      </w:pPr>
    </w:lvl>
    <w:lvl w:ilvl="6" w:tplc="97088C10">
      <w:start w:val="1"/>
      <w:numFmt w:val="decimal"/>
      <w:lvlText w:val="%7."/>
      <w:lvlJc w:val="left"/>
      <w:pPr>
        <w:ind w:left="5040" w:hanging="360"/>
      </w:pPr>
    </w:lvl>
    <w:lvl w:ilvl="7" w:tplc="DEC0FD7E">
      <w:start w:val="1"/>
      <w:numFmt w:val="lowerLetter"/>
      <w:lvlText w:val="%8."/>
      <w:lvlJc w:val="left"/>
      <w:pPr>
        <w:ind w:left="5760" w:hanging="360"/>
      </w:pPr>
    </w:lvl>
    <w:lvl w:ilvl="8" w:tplc="7F72D55E">
      <w:start w:val="1"/>
      <w:numFmt w:val="lowerRoman"/>
      <w:lvlText w:val="%9."/>
      <w:lvlJc w:val="right"/>
      <w:pPr>
        <w:ind w:left="6480" w:hanging="180"/>
      </w:pPr>
    </w:lvl>
  </w:abstractNum>
  <w:abstractNum w:abstractNumId="4" w15:restartNumberingAfterBreak="0">
    <w:nsid w:val="4CAE693E"/>
    <w:multiLevelType w:val="hybridMultilevel"/>
    <w:tmpl w:val="8F3676E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701F25D1"/>
    <w:multiLevelType w:val="hybridMultilevel"/>
    <w:tmpl w:val="F3686BB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71"/>
    <w:rsid w:val="0001531B"/>
    <w:rsid w:val="001A4F05"/>
    <w:rsid w:val="00213477"/>
    <w:rsid w:val="004F1D39"/>
    <w:rsid w:val="006D456B"/>
    <w:rsid w:val="008A7125"/>
    <w:rsid w:val="00945871"/>
    <w:rsid w:val="00964F03"/>
    <w:rsid w:val="009B6112"/>
    <w:rsid w:val="00C158B3"/>
    <w:rsid w:val="00CA6EAB"/>
    <w:rsid w:val="00CE42B9"/>
    <w:rsid w:val="00DA20DF"/>
    <w:rsid w:val="00F624F0"/>
    <w:rsid w:val="00FD59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830E4D2"/>
  <w15:chartTrackingRefBased/>
  <w15:docId w15:val="{E17D67B5-612F-4761-960B-D0F1D3FE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71"/>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5871"/>
    <w:rPr>
      <w:color w:val="0563C1" w:themeColor="hyperlink"/>
      <w:u w:val="single"/>
    </w:rPr>
  </w:style>
  <w:style w:type="paragraph" w:styleId="Prrafodelista">
    <w:name w:val="List Paragraph"/>
    <w:basedOn w:val="Normal"/>
    <w:uiPriority w:val="34"/>
    <w:qFormat/>
    <w:rsid w:val="00945871"/>
    <w:pPr>
      <w:spacing w:after="200" w:line="276" w:lineRule="auto"/>
      <w:ind w:left="720"/>
      <w:contextualSpacing/>
    </w:pPr>
  </w:style>
  <w:style w:type="table" w:styleId="Tablaconcuadrcula">
    <w:name w:val="Table Grid"/>
    <w:basedOn w:val="Tablanormal"/>
    <w:uiPriority w:val="39"/>
    <w:rsid w:val="00CA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E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6EAB"/>
  </w:style>
  <w:style w:type="paragraph" w:styleId="Piedepgina">
    <w:name w:val="footer"/>
    <w:basedOn w:val="Normal"/>
    <w:link w:val="PiedepginaCar"/>
    <w:uiPriority w:val="99"/>
    <w:unhideWhenUsed/>
    <w:rsid w:val="00CA6E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7ABF8554E6F94695F428A9439B34BA" ma:contentTypeVersion="11" ma:contentTypeDescription="Crear nuevo documento." ma:contentTypeScope="" ma:versionID="4f5681139cff27e88431945f74621a57">
  <xsd:schema xmlns:xsd="http://www.w3.org/2001/XMLSchema" xmlns:xs="http://www.w3.org/2001/XMLSchema" xmlns:p="http://schemas.microsoft.com/office/2006/metadata/properties" xmlns:ns3="d484d78f-58d3-4876-956f-38838b040f45" xmlns:ns4="951e9889-399b-480e-a907-c432bd10fcc4" targetNamespace="http://schemas.microsoft.com/office/2006/metadata/properties" ma:root="true" ma:fieldsID="89871973151c8062ff7356b4cd485719" ns3:_="" ns4:_="">
    <xsd:import namespace="d484d78f-58d3-4876-956f-38838b040f45"/>
    <xsd:import namespace="951e9889-399b-480e-a907-c432bd10fcc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d78f-58d3-4876-956f-38838b040f4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9889-399b-480e-a907-c432bd10fc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FB6C3-90EE-4CA0-BD8A-CBAD1A304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d78f-58d3-4876-956f-38838b040f45"/>
    <ds:schemaRef ds:uri="951e9889-399b-480e-a907-c432bd10f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0C599-7F18-4C89-AF99-5910C52E77F7}">
  <ds:schemaRefs>
    <ds:schemaRef ds:uri="http://schemas.microsoft.com/sharepoint/v3/contenttype/forms"/>
  </ds:schemaRefs>
</ds:datastoreItem>
</file>

<file path=customXml/itemProps3.xml><?xml version="1.0" encoding="utf-8"?>
<ds:datastoreItem xmlns:ds="http://schemas.openxmlformats.org/officeDocument/2006/customXml" ds:itemID="{D95F5762-82A4-40C4-818F-4DF1538E37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84d78f-58d3-4876-956f-38838b040f45"/>
    <ds:schemaRef ds:uri="http://purl.org/dc/elements/1.1/"/>
    <ds:schemaRef ds:uri="http://schemas.microsoft.com/office/2006/metadata/properties"/>
    <ds:schemaRef ds:uri="951e9889-399b-480e-a907-c432bd10fc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RIM*Mercedes Babé y Romero</dc:creator>
  <cp:keywords/>
  <dc:description/>
  <cp:lastModifiedBy>00  RIM*Mercedes Babé y Romero</cp:lastModifiedBy>
  <cp:revision>3</cp:revision>
  <dcterms:created xsi:type="dcterms:W3CDTF">2019-07-30T11:47:00Z</dcterms:created>
  <dcterms:modified xsi:type="dcterms:W3CDTF">2019-07-30T13:46:00Z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0x010100B37ABF8554E6F94695F428A9439B34BA</vt:lpwstr>
  </property>
</Properties>
</file>