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B8CB1" w14:textId="77777777" w:rsidR="00AD7446" w:rsidRPr="005F7836" w:rsidRDefault="00AD7446" w:rsidP="007818E1">
      <w:pPr>
        <w:rPr>
          <w:rFonts w:ascii="Arial" w:hAnsi="Arial" w:cs="Arial"/>
          <w:sz w:val="22"/>
          <w:szCs w:val="22"/>
          <w:lang w:val="ru-RU"/>
        </w:rPr>
      </w:pPr>
    </w:p>
    <w:p w14:paraId="57D12D14" w14:textId="77777777" w:rsidR="00A177B1" w:rsidRPr="005F7836" w:rsidRDefault="00A177B1" w:rsidP="007818E1">
      <w:pPr>
        <w:rPr>
          <w:rFonts w:ascii="Arial" w:hAnsi="Arial" w:cs="Arial"/>
          <w:sz w:val="22"/>
          <w:szCs w:val="22"/>
          <w:lang w:val="ru-RU"/>
        </w:rPr>
      </w:pPr>
    </w:p>
    <w:tbl>
      <w:tblPr>
        <w:tblpPr w:leftFromText="141" w:rightFromText="141" w:vertAnchor="text" w:horzAnchor="page" w:tblpX="8510" w:tblpYSpec="center"/>
        <w:tblW w:w="0" w:type="auto"/>
        <w:tblLook w:val="01E0" w:firstRow="1" w:lastRow="1" w:firstColumn="1" w:lastColumn="1" w:noHBand="0" w:noVBand="0"/>
      </w:tblPr>
      <w:tblGrid>
        <w:gridCol w:w="2627"/>
      </w:tblGrid>
      <w:tr w:rsidR="00AD7446" w:rsidRPr="005F7836" w14:paraId="2F008F8C" w14:textId="77777777">
        <w:trPr>
          <w:trHeight w:val="258"/>
        </w:trPr>
        <w:tc>
          <w:tcPr>
            <w:tcW w:w="2627" w:type="dxa"/>
          </w:tcPr>
          <w:p w14:paraId="43B6F164" w14:textId="77777777" w:rsidR="00AF5367" w:rsidRPr="005F7836" w:rsidRDefault="00AF5367" w:rsidP="007818E1">
            <w:pPr>
              <w:pStyle w:val="CoDLanguagecode"/>
              <w:framePr w:hSpace="0" w:wrap="auto" w:vAnchor="margin" w:hAnchor="text" w:xAlign="left" w:yAlign="inline"/>
              <w:rPr>
                <w:sz w:val="22"/>
                <w:szCs w:val="22"/>
                <w:lang w:val="ru-RU"/>
              </w:rPr>
            </w:pPr>
            <w:r w:rsidRPr="005F7836">
              <w:rPr>
                <w:sz w:val="22"/>
                <w:szCs w:val="22"/>
                <w:lang w:val="ru-RU"/>
              </w:rPr>
              <w:t>EN</w:t>
            </w:r>
          </w:p>
          <w:p w14:paraId="4016351E" w14:textId="17BE93F0" w:rsidR="00AD7446" w:rsidRPr="005F7836" w:rsidRDefault="000C2190" w:rsidP="007818E1">
            <w:pPr>
              <w:pStyle w:val="CoDDocNo"/>
              <w:framePr w:hSpace="0" w:wrap="auto" w:vAnchor="margin" w:hAnchor="text" w:xAlign="left" w:yAlign="inline"/>
              <w:rPr>
                <w:rFonts w:cs="Arial"/>
                <w:sz w:val="22"/>
                <w:szCs w:val="22"/>
                <w:lang w:val="ru-RU"/>
              </w:rPr>
            </w:pPr>
            <w:r w:rsidRPr="005F7836">
              <w:rPr>
                <w:rFonts w:cs="Arial"/>
                <w:sz w:val="22"/>
                <w:szCs w:val="22"/>
                <w:lang w:val="ru-RU"/>
              </w:rPr>
              <w:t>CD/</w:t>
            </w:r>
            <w:r w:rsidR="00C43FF3" w:rsidRPr="005F7836">
              <w:rPr>
                <w:rFonts w:cs="Arial"/>
                <w:sz w:val="22"/>
                <w:szCs w:val="22"/>
                <w:lang w:val="ru-RU"/>
              </w:rPr>
              <w:t>1</w:t>
            </w:r>
            <w:r w:rsidR="00C369E7" w:rsidRPr="005F7836">
              <w:rPr>
                <w:rFonts w:cs="Arial"/>
                <w:sz w:val="22"/>
                <w:szCs w:val="22"/>
                <w:lang w:val="ru-RU"/>
              </w:rPr>
              <w:t>7</w:t>
            </w:r>
            <w:r w:rsidR="00E263B9" w:rsidRPr="005F7836">
              <w:rPr>
                <w:rFonts w:cs="Arial"/>
                <w:sz w:val="22"/>
                <w:szCs w:val="22"/>
                <w:lang w:val="ru-RU"/>
              </w:rPr>
              <w:t>/</w:t>
            </w:r>
            <w:r w:rsidR="008D4019" w:rsidRPr="005F7836">
              <w:rPr>
                <w:rFonts w:cs="Arial"/>
                <w:sz w:val="22"/>
                <w:szCs w:val="22"/>
                <w:lang w:val="ru-RU"/>
              </w:rPr>
              <w:t>6</w:t>
            </w:r>
          </w:p>
        </w:tc>
      </w:tr>
      <w:tr w:rsidR="00AD7446" w:rsidRPr="005F7836" w14:paraId="0B8848B8" w14:textId="77777777">
        <w:trPr>
          <w:trHeight w:val="258"/>
        </w:trPr>
        <w:tc>
          <w:tcPr>
            <w:tcW w:w="2627" w:type="dxa"/>
          </w:tcPr>
          <w:p w14:paraId="438FCAEC" w14:textId="2BACC66F" w:rsidR="00AD7446" w:rsidRPr="005F7836" w:rsidRDefault="003F002F" w:rsidP="007818E1">
            <w:pPr>
              <w:pStyle w:val="CoDLanguage"/>
              <w:framePr w:hSpace="0" w:wrap="auto" w:vAnchor="margin" w:hAnchor="text" w:xAlign="left" w:yAlign="inline"/>
              <w:rPr>
                <w:rFonts w:cs="Arial"/>
                <w:sz w:val="22"/>
                <w:szCs w:val="22"/>
                <w:lang w:val="ru-RU"/>
              </w:rPr>
            </w:pPr>
            <w:r w:rsidRPr="005F7836">
              <w:rPr>
                <w:rFonts w:cs="Arial"/>
                <w:sz w:val="22"/>
                <w:szCs w:val="22"/>
                <w:lang w:val="ru-RU"/>
              </w:rPr>
              <w:t>Оригинал: на английском языке</w:t>
            </w:r>
          </w:p>
          <w:p w14:paraId="7E688A22" w14:textId="206588C1" w:rsidR="00AD7446" w:rsidRPr="005F7836" w:rsidRDefault="003F002F" w:rsidP="007818E1">
            <w:pPr>
              <w:pStyle w:val="CoDLanguage"/>
              <w:framePr w:hSpace="0" w:wrap="auto" w:vAnchor="margin" w:hAnchor="text" w:xAlign="left" w:yAlign="inline"/>
              <w:rPr>
                <w:rFonts w:cs="Arial"/>
                <w:sz w:val="22"/>
                <w:szCs w:val="22"/>
                <w:lang w:val="ru-RU"/>
              </w:rPr>
            </w:pPr>
            <w:r w:rsidRPr="005F7836">
              <w:rPr>
                <w:rFonts w:cs="Arial"/>
                <w:sz w:val="22"/>
                <w:szCs w:val="22"/>
                <w:lang w:val="ru-RU"/>
              </w:rPr>
              <w:t>Для информации</w:t>
            </w:r>
          </w:p>
        </w:tc>
      </w:tr>
    </w:tbl>
    <w:p w14:paraId="065A72D2" w14:textId="77777777" w:rsidR="00AD7446" w:rsidRPr="005F7836" w:rsidRDefault="00AD7446" w:rsidP="007818E1">
      <w:pPr>
        <w:rPr>
          <w:rFonts w:ascii="Arial" w:hAnsi="Arial" w:cs="Arial"/>
          <w:sz w:val="22"/>
          <w:szCs w:val="22"/>
          <w:lang w:val="ru-RU"/>
        </w:rPr>
      </w:pPr>
    </w:p>
    <w:p w14:paraId="56F389B3" w14:textId="77777777" w:rsidR="00AD7446" w:rsidRPr="005F7836" w:rsidRDefault="00AD7446" w:rsidP="007818E1">
      <w:pPr>
        <w:rPr>
          <w:rFonts w:ascii="Arial" w:hAnsi="Arial" w:cs="Arial"/>
          <w:sz w:val="22"/>
          <w:szCs w:val="22"/>
          <w:lang w:val="ru-RU"/>
        </w:rPr>
      </w:pPr>
    </w:p>
    <w:p w14:paraId="57F686B2" w14:textId="77777777" w:rsidR="00AD7446" w:rsidRPr="005F7836" w:rsidRDefault="00AD7446" w:rsidP="007818E1">
      <w:pPr>
        <w:rPr>
          <w:rFonts w:ascii="Arial" w:hAnsi="Arial" w:cs="Arial"/>
          <w:sz w:val="22"/>
          <w:szCs w:val="22"/>
          <w:lang w:val="ru-RU"/>
        </w:rPr>
      </w:pPr>
    </w:p>
    <w:p w14:paraId="279A3F5F" w14:textId="77777777" w:rsidR="00AD7446" w:rsidRPr="005F7836" w:rsidRDefault="00AD7446" w:rsidP="007818E1">
      <w:pPr>
        <w:rPr>
          <w:rFonts w:ascii="Arial" w:hAnsi="Arial" w:cs="Arial"/>
          <w:sz w:val="22"/>
          <w:szCs w:val="22"/>
          <w:lang w:val="ru-RU"/>
        </w:rPr>
      </w:pPr>
    </w:p>
    <w:p w14:paraId="637DD7C8" w14:textId="77777777" w:rsidR="00AD7446" w:rsidRPr="005F7836" w:rsidRDefault="00AD7446" w:rsidP="007818E1">
      <w:pPr>
        <w:rPr>
          <w:rFonts w:ascii="Arial" w:hAnsi="Arial" w:cs="Arial"/>
          <w:sz w:val="22"/>
          <w:szCs w:val="22"/>
          <w:lang w:val="ru-RU"/>
        </w:rPr>
      </w:pPr>
    </w:p>
    <w:p w14:paraId="6DCBFD4D" w14:textId="77777777" w:rsidR="00AD7446" w:rsidRPr="005F7836" w:rsidRDefault="00AD7446" w:rsidP="007818E1">
      <w:pPr>
        <w:rPr>
          <w:rFonts w:ascii="Arial" w:hAnsi="Arial" w:cs="Arial"/>
          <w:sz w:val="22"/>
          <w:szCs w:val="22"/>
          <w:lang w:val="ru-RU"/>
        </w:rPr>
      </w:pPr>
    </w:p>
    <w:p w14:paraId="2A130F98" w14:textId="77777777" w:rsidR="00AD7446" w:rsidRPr="005F7836" w:rsidRDefault="00AD7446" w:rsidP="007818E1">
      <w:pPr>
        <w:rPr>
          <w:rFonts w:ascii="Arial" w:hAnsi="Arial" w:cs="Arial"/>
          <w:sz w:val="22"/>
          <w:szCs w:val="22"/>
          <w:lang w:val="ru-RU"/>
        </w:rPr>
      </w:pPr>
    </w:p>
    <w:p w14:paraId="33C0C5EF" w14:textId="77777777" w:rsidR="00223BC8" w:rsidRPr="005F7836" w:rsidRDefault="00223BC8" w:rsidP="007818E1">
      <w:pPr>
        <w:rPr>
          <w:rFonts w:ascii="Arial" w:hAnsi="Arial" w:cs="Arial"/>
          <w:sz w:val="22"/>
          <w:szCs w:val="22"/>
          <w:lang w:val="ru-RU"/>
        </w:rPr>
      </w:pPr>
    </w:p>
    <w:p w14:paraId="384A11BC" w14:textId="08C7664F" w:rsidR="00AD7446" w:rsidRPr="005F7836" w:rsidRDefault="003F002F" w:rsidP="007818E1">
      <w:pPr>
        <w:pStyle w:val="CoDTitle"/>
        <w:rPr>
          <w:rFonts w:cs="Arial"/>
          <w:sz w:val="22"/>
          <w:szCs w:val="22"/>
          <w:lang w:val="ru-RU"/>
        </w:rPr>
      </w:pPr>
      <w:r w:rsidRPr="005F7836">
        <w:rPr>
          <w:rFonts w:cs="Arial"/>
          <w:sz w:val="22"/>
          <w:szCs w:val="22"/>
          <w:lang w:val="ru-RU"/>
        </w:rPr>
        <w:t>СОВЕТ ДЕЛЕГАТОВ</w:t>
      </w:r>
    </w:p>
    <w:p w14:paraId="0C973922" w14:textId="77777777" w:rsidR="00AD7446" w:rsidRPr="005F7836" w:rsidRDefault="00AD7446" w:rsidP="007818E1">
      <w:pPr>
        <w:jc w:val="center"/>
        <w:rPr>
          <w:rFonts w:ascii="Arial" w:hAnsi="Arial" w:cs="Arial"/>
          <w:b/>
          <w:bCs/>
          <w:sz w:val="22"/>
          <w:szCs w:val="22"/>
          <w:lang w:val="ru-RU"/>
        </w:rPr>
      </w:pPr>
    </w:p>
    <w:p w14:paraId="256AA19C" w14:textId="7A01C90C" w:rsidR="00AD7446" w:rsidRPr="005F7836" w:rsidRDefault="003F002F" w:rsidP="007818E1">
      <w:pPr>
        <w:pStyle w:val="CoDTitle"/>
        <w:rPr>
          <w:rFonts w:cs="Arial"/>
          <w:sz w:val="22"/>
          <w:szCs w:val="22"/>
          <w:lang w:val="ru-RU"/>
        </w:rPr>
      </w:pPr>
      <w:r w:rsidRPr="005F7836">
        <w:rPr>
          <w:rFonts w:cs="Arial"/>
          <w:sz w:val="22"/>
          <w:szCs w:val="22"/>
          <w:lang w:val="ru-RU"/>
        </w:rPr>
        <w:t>МЕЖДУНАРОДНОГО ДВИЖЕНИЯ</w:t>
      </w:r>
      <w:r w:rsidR="00B5400B" w:rsidRPr="005F7836">
        <w:rPr>
          <w:rFonts w:cs="Arial"/>
          <w:sz w:val="22"/>
          <w:szCs w:val="22"/>
          <w:lang w:val="ru-RU"/>
        </w:rPr>
        <w:br/>
        <w:t xml:space="preserve"> </w:t>
      </w:r>
      <w:r w:rsidRPr="005F7836">
        <w:rPr>
          <w:rFonts w:cs="Arial"/>
          <w:sz w:val="22"/>
          <w:szCs w:val="22"/>
          <w:lang w:val="ru-RU"/>
        </w:rPr>
        <w:t>КРАСНОГО КРЕСТА И КРАСНОГО ПОЛУМЕСЯЦА</w:t>
      </w:r>
    </w:p>
    <w:p w14:paraId="06C6A382" w14:textId="77777777" w:rsidR="00AD7446" w:rsidRPr="005F7836" w:rsidRDefault="00AD7446" w:rsidP="007818E1">
      <w:pPr>
        <w:jc w:val="center"/>
        <w:rPr>
          <w:rFonts w:ascii="Arial" w:hAnsi="Arial" w:cs="Arial"/>
          <w:b/>
          <w:bCs/>
          <w:sz w:val="22"/>
          <w:szCs w:val="22"/>
          <w:lang w:val="ru-RU"/>
        </w:rPr>
      </w:pPr>
    </w:p>
    <w:p w14:paraId="0D7B70CC" w14:textId="77777777" w:rsidR="00AD7446" w:rsidRPr="005F7836" w:rsidRDefault="00AD7446" w:rsidP="007818E1">
      <w:pPr>
        <w:jc w:val="center"/>
        <w:rPr>
          <w:rFonts w:ascii="Arial" w:hAnsi="Arial" w:cs="Arial"/>
          <w:b/>
          <w:bCs/>
          <w:sz w:val="22"/>
          <w:szCs w:val="22"/>
          <w:lang w:val="ru-RU"/>
        </w:rPr>
      </w:pPr>
    </w:p>
    <w:p w14:paraId="53A2E8EC" w14:textId="4D3977A0" w:rsidR="00AD7446" w:rsidRPr="005F7836" w:rsidRDefault="003F002F" w:rsidP="007818E1">
      <w:pPr>
        <w:pStyle w:val="CoDConferencePlaceDate"/>
        <w:rPr>
          <w:rFonts w:cs="Arial"/>
          <w:sz w:val="22"/>
          <w:szCs w:val="22"/>
          <w:lang w:val="ru-RU"/>
        </w:rPr>
      </w:pPr>
      <w:r w:rsidRPr="005F7836">
        <w:rPr>
          <w:rFonts w:cs="Arial"/>
          <w:sz w:val="22"/>
          <w:szCs w:val="22"/>
          <w:lang w:val="ru-RU"/>
        </w:rPr>
        <w:t>Анталья</w:t>
      </w:r>
      <w:r w:rsidR="000C2190" w:rsidRPr="005F7836">
        <w:rPr>
          <w:rFonts w:cs="Arial"/>
          <w:sz w:val="22"/>
          <w:szCs w:val="22"/>
          <w:lang w:val="ru-RU"/>
        </w:rPr>
        <w:t xml:space="preserve">, </w:t>
      </w:r>
      <w:r w:rsidRPr="005F7836">
        <w:rPr>
          <w:rFonts w:cs="Arial"/>
          <w:sz w:val="22"/>
          <w:szCs w:val="22"/>
          <w:lang w:val="ru-RU"/>
        </w:rPr>
        <w:t>Турция</w:t>
      </w:r>
    </w:p>
    <w:p w14:paraId="2BCE8306" w14:textId="3E97BDE4" w:rsidR="00AD7446" w:rsidRPr="005F7836" w:rsidRDefault="00C369E7" w:rsidP="007818E1">
      <w:pPr>
        <w:pStyle w:val="CoDConferencePlaceDate"/>
        <w:rPr>
          <w:rFonts w:cs="Arial"/>
          <w:sz w:val="22"/>
          <w:szCs w:val="22"/>
          <w:lang w:val="ru-RU"/>
        </w:rPr>
      </w:pPr>
      <w:r w:rsidRPr="005F7836">
        <w:rPr>
          <w:rFonts w:cs="Arial"/>
          <w:sz w:val="22"/>
          <w:szCs w:val="22"/>
          <w:lang w:val="ru-RU"/>
        </w:rPr>
        <w:t>10</w:t>
      </w:r>
      <w:r w:rsidR="00B5400B" w:rsidRPr="005F7836">
        <w:rPr>
          <w:rFonts w:cs="Arial"/>
          <w:sz w:val="22"/>
          <w:szCs w:val="22"/>
          <w:lang w:val="ru-RU"/>
        </w:rPr>
        <w:t>–</w:t>
      </w:r>
      <w:r w:rsidRPr="005F7836">
        <w:rPr>
          <w:rFonts w:cs="Arial"/>
          <w:sz w:val="22"/>
          <w:szCs w:val="22"/>
          <w:lang w:val="ru-RU"/>
        </w:rPr>
        <w:t>11</w:t>
      </w:r>
      <w:r w:rsidR="002E6125" w:rsidRPr="005F7836">
        <w:rPr>
          <w:rFonts w:cs="Arial"/>
          <w:sz w:val="22"/>
          <w:szCs w:val="22"/>
          <w:lang w:val="ru-RU"/>
        </w:rPr>
        <w:t xml:space="preserve"> </w:t>
      </w:r>
      <w:r w:rsidR="003F002F" w:rsidRPr="005F7836">
        <w:rPr>
          <w:rFonts w:cs="Arial"/>
          <w:sz w:val="22"/>
          <w:szCs w:val="22"/>
          <w:lang w:val="ru-RU"/>
        </w:rPr>
        <w:t>ноября</w:t>
      </w:r>
      <w:r w:rsidR="002E6125" w:rsidRPr="005F7836">
        <w:rPr>
          <w:rFonts w:cs="Arial"/>
          <w:sz w:val="22"/>
          <w:szCs w:val="22"/>
          <w:lang w:val="ru-RU"/>
        </w:rPr>
        <w:t xml:space="preserve"> 201</w:t>
      </w:r>
      <w:r w:rsidRPr="005F7836">
        <w:rPr>
          <w:rFonts w:cs="Arial"/>
          <w:sz w:val="22"/>
          <w:szCs w:val="22"/>
          <w:lang w:val="ru-RU"/>
        </w:rPr>
        <w:t>7</w:t>
      </w:r>
      <w:r w:rsidR="003F002F" w:rsidRPr="005F7836">
        <w:rPr>
          <w:rFonts w:cs="Arial"/>
          <w:sz w:val="22"/>
          <w:szCs w:val="22"/>
          <w:lang w:val="ru-RU"/>
        </w:rPr>
        <w:t xml:space="preserve"> года</w:t>
      </w:r>
    </w:p>
    <w:p w14:paraId="2C853620" w14:textId="77777777" w:rsidR="00AD7446" w:rsidRPr="005F7836" w:rsidRDefault="00AD7446" w:rsidP="007818E1">
      <w:pPr>
        <w:rPr>
          <w:rFonts w:ascii="Arial" w:hAnsi="Arial" w:cs="Arial"/>
          <w:sz w:val="22"/>
          <w:szCs w:val="22"/>
          <w:lang w:val="ru-RU"/>
        </w:rPr>
      </w:pPr>
    </w:p>
    <w:p w14:paraId="0D7A4544" w14:textId="77777777" w:rsidR="00AD7446" w:rsidRPr="005F7836" w:rsidRDefault="00AD7446" w:rsidP="007818E1">
      <w:pPr>
        <w:rPr>
          <w:rFonts w:ascii="Arial" w:hAnsi="Arial" w:cs="Arial"/>
          <w:sz w:val="22"/>
          <w:szCs w:val="22"/>
          <w:lang w:val="ru-RU"/>
        </w:rPr>
      </w:pPr>
    </w:p>
    <w:p w14:paraId="26BFFACD" w14:textId="77777777" w:rsidR="00AD7446" w:rsidRPr="005F7836" w:rsidRDefault="00AD7446" w:rsidP="007818E1">
      <w:pPr>
        <w:rPr>
          <w:rFonts w:ascii="Arial" w:hAnsi="Arial" w:cs="Arial"/>
          <w:sz w:val="22"/>
          <w:szCs w:val="22"/>
          <w:lang w:val="ru-RU"/>
        </w:rPr>
      </w:pPr>
    </w:p>
    <w:p w14:paraId="2E054DAF" w14:textId="3D306DBA" w:rsidR="00AD7446" w:rsidRPr="005F7836" w:rsidRDefault="003F002F" w:rsidP="007818E1">
      <w:pPr>
        <w:pStyle w:val="CoDReportTitle"/>
        <w:rPr>
          <w:sz w:val="22"/>
          <w:szCs w:val="22"/>
          <w:lang w:val="ru-RU"/>
        </w:rPr>
      </w:pPr>
      <w:r w:rsidRPr="005F7836">
        <w:rPr>
          <w:sz w:val="22"/>
          <w:szCs w:val="22"/>
          <w:lang w:val="ru-RU"/>
        </w:rPr>
        <w:t>Принципы мобилизации ресурсов для всех участников Движения</w:t>
      </w:r>
    </w:p>
    <w:p w14:paraId="1C8209CB" w14:textId="77777777" w:rsidR="00AD7446" w:rsidRPr="005F7836" w:rsidRDefault="00AD7446" w:rsidP="007818E1">
      <w:pPr>
        <w:jc w:val="center"/>
        <w:rPr>
          <w:rFonts w:ascii="Arial" w:hAnsi="Arial" w:cs="Arial"/>
          <w:b/>
          <w:bCs/>
          <w:sz w:val="22"/>
          <w:szCs w:val="22"/>
          <w:lang w:val="ru-RU"/>
        </w:rPr>
      </w:pPr>
    </w:p>
    <w:p w14:paraId="78811579" w14:textId="77777777" w:rsidR="0023179D" w:rsidRPr="005F7836" w:rsidRDefault="0023179D" w:rsidP="007818E1">
      <w:pPr>
        <w:jc w:val="center"/>
        <w:rPr>
          <w:rFonts w:ascii="Arial" w:hAnsi="Arial" w:cs="Arial"/>
          <w:b/>
          <w:bCs/>
          <w:sz w:val="22"/>
          <w:szCs w:val="22"/>
          <w:lang w:val="ru-RU" w:eastAsia="en-US"/>
        </w:rPr>
      </w:pPr>
    </w:p>
    <w:p w14:paraId="43BE74B5" w14:textId="7209C1A1" w:rsidR="000D43CE" w:rsidRPr="005F7836" w:rsidRDefault="003F002F" w:rsidP="007818E1">
      <w:pPr>
        <w:pStyle w:val="CoDtypeofreport"/>
        <w:rPr>
          <w:sz w:val="22"/>
          <w:szCs w:val="22"/>
          <w:lang w:val="ru-RU"/>
        </w:rPr>
      </w:pPr>
      <w:r w:rsidRPr="005F7836">
        <w:rPr>
          <w:sz w:val="22"/>
          <w:szCs w:val="22"/>
          <w:lang w:val="ru-RU"/>
        </w:rPr>
        <w:t>ИНФОРМАЦИОННЫЙ ОТЧЕТ</w:t>
      </w:r>
    </w:p>
    <w:p w14:paraId="7C9013EC" w14:textId="77777777" w:rsidR="00AD7446" w:rsidRPr="005F7836" w:rsidRDefault="00AD7446" w:rsidP="007818E1">
      <w:pPr>
        <w:rPr>
          <w:rFonts w:ascii="Arial" w:hAnsi="Arial" w:cs="Arial"/>
          <w:sz w:val="22"/>
          <w:szCs w:val="22"/>
          <w:lang w:val="ru-RU"/>
        </w:rPr>
      </w:pPr>
    </w:p>
    <w:p w14:paraId="3E595293" w14:textId="77777777" w:rsidR="00AD7446" w:rsidRPr="005F7836" w:rsidRDefault="00AD7446" w:rsidP="007818E1">
      <w:pPr>
        <w:rPr>
          <w:rFonts w:ascii="Arial" w:hAnsi="Arial" w:cs="Arial"/>
          <w:sz w:val="22"/>
          <w:szCs w:val="22"/>
          <w:lang w:val="ru-RU"/>
        </w:rPr>
      </w:pPr>
    </w:p>
    <w:p w14:paraId="36F30549" w14:textId="77777777" w:rsidR="00AD7446" w:rsidRPr="005F7836" w:rsidRDefault="00AD7446" w:rsidP="007818E1">
      <w:pPr>
        <w:rPr>
          <w:rFonts w:ascii="Arial" w:hAnsi="Arial" w:cs="Arial"/>
          <w:sz w:val="22"/>
          <w:szCs w:val="22"/>
          <w:lang w:val="ru-RU"/>
        </w:rPr>
      </w:pPr>
    </w:p>
    <w:p w14:paraId="13AAA323" w14:textId="77777777" w:rsidR="007C1888" w:rsidRPr="005F7836" w:rsidRDefault="007C1888" w:rsidP="007818E1">
      <w:pPr>
        <w:rPr>
          <w:rFonts w:ascii="Arial" w:hAnsi="Arial" w:cs="Arial"/>
          <w:sz w:val="22"/>
          <w:szCs w:val="22"/>
          <w:lang w:val="ru-RU"/>
        </w:rPr>
      </w:pPr>
    </w:p>
    <w:p w14:paraId="241E8315" w14:textId="12FFF9D6" w:rsidR="00AD7446" w:rsidRPr="005F7836" w:rsidRDefault="003F002F" w:rsidP="007818E1">
      <w:pPr>
        <w:pStyle w:val="CoDPreparedby"/>
        <w:rPr>
          <w:rFonts w:cs="Arial"/>
          <w:szCs w:val="22"/>
          <w:lang w:val="ru-RU"/>
        </w:rPr>
      </w:pPr>
      <w:r w:rsidRPr="005F7836">
        <w:rPr>
          <w:rFonts w:cs="Arial"/>
          <w:szCs w:val="22"/>
          <w:lang w:val="ru-RU"/>
        </w:rPr>
        <w:t>Документ подготовлен Международным Комитетом Красн</w:t>
      </w:r>
      <w:r w:rsidR="00BA29F9" w:rsidRPr="005F7836">
        <w:rPr>
          <w:rFonts w:cs="Arial"/>
          <w:szCs w:val="22"/>
          <w:lang w:val="ru-RU"/>
        </w:rPr>
        <w:t>о</w:t>
      </w:r>
      <w:r w:rsidRPr="005F7836">
        <w:rPr>
          <w:rFonts w:cs="Arial"/>
          <w:szCs w:val="22"/>
          <w:lang w:val="ru-RU"/>
        </w:rPr>
        <w:t>го Креста и Красного Полумесяца и Международной Федерацией  обществ Красного Креста</w:t>
      </w:r>
      <w:r w:rsidR="00BA29F9" w:rsidRPr="005F7836">
        <w:rPr>
          <w:rFonts w:cs="Arial"/>
          <w:szCs w:val="22"/>
          <w:lang w:val="ru-RU"/>
        </w:rPr>
        <w:t xml:space="preserve"> </w:t>
      </w:r>
      <w:r w:rsidRPr="005F7836">
        <w:rPr>
          <w:rFonts w:cs="Arial"/>
          <w:szCs w:val="22"/>
          <w:lang w:val="ru-RU"/>
        </w:rPr>
        <w:t xml:space="preserve">и Красного Полумесяца по итогам консультаций с национальными обществами Красного Креста и Красного Полумесяца </w:t>
      </w:r>
    </w:p>
    <w:p w14:paraId="419793FF" w14:textId="77777777" w:rsidR="00AD7446" w:rsidRPr="005F7836" w:rsidRDefault="00AD7446" w:rsidP="007818E1">
      <w:pPr>
        <w:rPr>
          <w:rFonts w:ascii="Arial" w:hAnsi="Arial" w:cs="Arial"/>
          <w:sz w:val="22"/>
          <w:szCs w:val="22"/>
          <w:lang w:val="ru-RU"/>
        </w:rPr>
      </w:pPr>
    </w:p>
    <w:p w14:paraId="6F156F88" w14:textId="77777777" w:rsidR="00AD7446" w:rsidRPr="005F7836" w:rsidRDefault="00AD7446" w:rsidP="007818E1">
      <w:pPr>
        <w:rPr>
          <w:rFonts w:ascii="Arial" w:hAnsi="Arial" w:cs="Arial"/>
          <w:sz w:val="22"/>
          <w:szCs w:val="22"/>
          <w:lang w:val="ru-RU"/>
        </w:rPr>
      </w:pPr>
    </w:p>
    <w:p w14:paraId="2464A2B4" w14:textId="77777777" w:rsidR="00AD7446" w:rsidRPr="005F7836" w:rsidRDefault="00AD7446" w:rsidP="007818E1">
      <w:pPr>
        <w:rPr>
          <w:rFonts w:ascii="Arial" w:hAnsi="Arial" w:cs="Arial"/>
          <w:sz w:val="22"/>
          <w:szCs w:val="22"/>
          <w:lang w:val="ru-RU"/>
        </w:rPr>
      </w:pPr>
    </w:p>
    <w:p w14:paraId="43C29541" w14:textId="77777777" w:rsidR="00AD7446" w:rsidRPr="005F7836" w:rsidRDefault="00AD7446" w:rsidP="007818E1">
      <w:pPr>
        <w:rPr>
          <w:rFonts w:ascii="Arial" w:hAnsi="Arial" w:cs="Arial"/>
          <w:sz w:val="22"/>
          <w:szCs w:val="22"/>
          <w:lang w:val="ru-RU"/>
        </w:rPr>
      </w:pPr>
    </w:p>
    <w:p w14:paraId="1AE4AB7E" w14:textId="0B93BBAB" w:rsidR="00AD7446" w:rsidRPr="005F7836" w:rsidRDefault="003F002F" w:rsidP="007818E1">
      <w:pPr>
        <w:pStyle w:val="CoDReportPlaceDate"/>
        <w:rPr>
          <w:rFonts w:cs="Arial"/>
          <w:szCs w:val="22"/>
          <w:lang w:val="ru-RU"/>
        </w:rPr>
      </w:pPr>
      <w:r w:rsidRPr="005F7836">
        <w:rPr>
          <w:rFonts w:cs="Arial"/>
          <w:szCs w:val="22"/>
          <w:lang w:val="ru-RU"/>
        </w:rPr>
        <w:t>Женева</w:t>
      </w:r>
      <w:r w:rsidR="00AD7446" w:rsidRPr="005F7836">
        <w:rPr>
          <w:rFonts w:cs="Arial"/>
          <w:szCs w:val="22"/>
          <w:lang w:val="ru-RU"/>
        </w:rPr>
        <w:t xml:space="preserve">, </w:t>
      </w:r>
      <w:r w:rsidRPr="005F7836">
        <w:rPr>
          <w:rFonts w:cs="Arial"/>
          <w:szCs w:val="22"/>
          <w:lang w:val="ru-RU"/>
        </w:rPr>
        <w:t>сентябрь</w:t>
      </w:r>
      <w:r w:rsidR="00430E97" w:rsidRPr="005F7836">
        <w:rPr>
          <w:rFonts w:cs="Arial"/>
          <w:szCs w:val="22"/>
          <w:lang w:val="ru-RU"/>
        </w:rPr>
        <w:t xml:space="preserve"> </w:t>
      </w:r>
      <w:r w:rsidR="0056734D" w:rsidRPr="005F7836">
        <w:rPr>
          <w:rFonts w:cs="Arial"/>
          <w:szCs w:val="22"/>
          <w:lang w:val="ru-RU"/>
        </w:rPr>
        <w:t>201</w:t>
      </w:r>
      <w:r w:rsidR="00C81B90" w:rsidRPr="005F7836">
        <w:rPr>
          <w:rFonts w:cs="Arial"/>
          <w:szCs w:val="22"/>
          <w:lang w:val="ru-RU"/>
        </w:rPr>
        <w:t>7</w:t>
      </w:r>
      <w:r w:rsidRPr="005F7836">
        <w:rPr>
          <w:rFonts w:cs="Arial"/>
          <w:szCs w:val="22"/>
          <w:lang w:val="ru-RU"/>
        </w:rPr>
        <w:t xml:space="preserve"> года</w:t>
      </w:r>
    </w:p>
    <w:p w14:paraId="5193C22F" w14:textId="77777777" w:rsidR="00AD7446" w:rsidRPr="005F7836" w:rsidRDefault="00AD7446" w:rsidP="007818E1">
      <w:pPr>
        <w:pStyle w:val="CoDNormal"/>
        <w:spacing w:before="0"/>
        <w:rPr>
          <w:rFonts w:cs="Arial"/>
          <w:lang w:val="ru-RU"/>
        </w:rPr>
      </w:pPr>
    </w:p>
    <w:p w14:paraId="2C8D74DE" w14:textId="77777777" w:rsidR="00AD7446" w:rsidRPr="005F7836" w:rsidRDefault="00AD7446" w:rsidP="008D56B6">
      <w:pPr>
        <w:pStyle w:val="CoDNormal"/>
        <w:rPr>
          <w:rFonts w:cs="Arial"/>
          <w:lang w:val="ru-RU"/>
        </w:rPr>
        <w:sectPr w:rsidR="00AD7446" w:rsidRPr="005F7836">
          <w:headerReference w:type="even" r:id="rId13"/>
          <w:headerReference w:type="default" r:id="rId14"/>
          <w:headerReference w:type="first" r:id="rId15"/>
          <w:footerReference w:type="first" r:id="rId16"/>
          <w:pgSz w:w="11906" w:h="16838"/>
          <w:pgMar w:top="1417" w:right="1417" w:bottom="1417" w:left="1417" w:header="708" w:footer="708" w:gutter="0"/>
          <w:cols w:space="708"/>
          <w:titlePg/>
          <w:docGrid w:linePitch="360"/>
        </w:sectPr>
      </w:pPr>
    </w:p>
    <w:p w14:paraId="204CB195" w14:textId="6878D550" w:rsidR="0017064E" w:rsidRPr="005F7836" w:rsidRDefault="003F002F" w:rsidP="001104CB">
      <w:pPr>
        <w:pStyle w:val="CoDHeading1"/>
        <w:rPr>
          <w:rFonts w:cs="Arial"/>
          <w:sz w:val="22"/>
          <w:lang w:val="ru-RU"/>
        </w:rPr>
      </w:pPr>
      <w:r w:rsidRPr="005F7836">
        <w:rPr>
          <w:rFonts w:cs="Arial"/>
          <w:sz w:val="22"/>
          <w:lang w:val="ru-RU"/>
        </w:rPr>
        <w:lastRenderedPageBreak/>
        <w:t>КРАТКИЙ ОБЗОР</w:t>
      </w:r>
    </w:p>
    <w:p w14:paraId="1BF3C80E" w14:textId="7B9FA6C4" w:rsidR="009B4D6E" w:rsidRPr="005F7836" w:rsidRDefault="009B4D6E" w:rsidP="008D4244">
      <w:pPr>
        <w:pStyle w:val="CoDNormal"/>
        <w:rPr>
          <w:rFonts w:cs="Arial"/>
          <w:lang w:val="ru-RU"/>
        </w:rPr>
      </w:pPr>
      <w:r w:rsidRPr="005F7836">
        <w:rPr>
          <w:rFonts w:cs="Arial"/>
          <w:lang w:val="ru-RU"/>
        </w:rPr>
        <w:t>В данном отчет</w:t>
      </w:r>
      <w:r w:rsidR="00BA29F9" w:rsidRPr="005F7836">
        <w:rPr>
          <w:rFonts w:cs="Arial"/>
          <w:lang w:val="ru-RU"/>
        </w:rPr>
        <w:t>е</w:t>
      </w:r>
      <w:r w:rsidRPr="005F7836">
        <w:rPr>
          <w:rFonts w:cs="Arial"/>
          <w:lang w:val="ru-RU"/>
        </w:rPr>
        <w:t xml:space="preserve"> содержится </w:t>
      </w:r>
      <w:r w:rsidR="00BA29F9" w:rsidRPr="005F7836">
        <w:rPr>
          <w:rFonts w:cs="Arial"/>
          <w:lang w:val="ru-RU"/>
        </w:rPr>
        <w:t>основная справочная информация по</w:t>
      </w:r>
      <w:r w:rsidRPr="005F7836">
        <w:rPr>
          <w:rFonts w:cs="Arial"/>
          <w:lang w:val="ru-RU"/>
        </w:rPr>
        <w:t xml:space="preserve"> Резолюции 6</w:t>
      </w:r>
      <w:r w:rsidR="00BA29F9" w:rsidRPr="005F7836">
        <w:rPr>
          <w:rFonts w:cs="Arial"/>
          <w:lang w:val="ru-RU"/>
        </w:rPr>
        <w:t xml:space="preserve"> </w:t>
      </w:r>
      <w:r w:rsidR="00E64AE9" w:rsidRPr="005F7836">
        <w:rPr>
          <w:rFonts w:cs="Arial"/>
          <w:lang w:val="ru-RU"/>
        </w:rPr>
        <w:t>(CD/17/</w:t>
      </w:r>
      <w:r w:rsidR="008D4019" w:rsidRPr="005F7836">
        <w:rPr>
          <w:rFonts w:cs="Arial"/>
          <w:lang w:val="ru-RU"/>
        </w:rPr>
        <w:t>R6</w:t>
      </w:r>
      <w:r w:rsidR="00E64AE9" w:rsidRPr="005F7836">
        <w:rPr>
          <w:rFonts w:cs="Arial"/>
          <w:lang w:val="ru-RU"/>
        </w:rPr>
        <w:t>)</w:t>
      </w:r>
      <w:r w:rsidRPr="005F7836">
        <w:rPr>
          <w:rFonts w:cs="Arial"/>
          <w:lang w:val="ru-RU"/>
        </w:rPr>
        <w:t>, касающейся принципо</w:t>
      </w:r>
      <w:r w:rsidR="00BA29F9" w:rsidRPr="005F7836">
        <w:rPr>
          <w:rFonts w:cs="Arial"/>
          <w:lang w:val="ru-RU"/>
        </w:rPr>
        <w:t>в</w:t>
      </w:r>
      <w:r w:rsidRPr="005F7836">
        <w:rPr>
          <w:rFonts w:cs="Arial"/>
          <w:lang w:val="ru-RU"/>
        </w:rPr>
        <w:t xml:space="preserve"> мобилизации ресурсов Международного движения Красного Креста и Красного Полумесяца </w:t>
      </w:r>
      <w:r w:rsidR="00726BDA" w:rsidRPr="005F7836">
        <w:rPr>
          <w:rFonts w:cs="Arial"/>
          <w:lang w:val="ru-RU"/>
        </w:rPr>
        <w:t xml:space="preserve"> </w:t>
      </w:r>
      <w:r w:rsidRPr="005F7836">
        <w:rPr>
          <w:rFonts w:cs="Arial"/>
          <w:lang w:val="ru-RU"/>
        </w:rPr>
        <w:t>(Движения). В</w:t>
      </w:r>
      <w:r w:rsidR="00BA29F9" w:rsidRPr="005F7836">
        <w:rPr>
          <w:rFonts w:cs="Arial"/>
          <w:lang w:val="ru-RU"/>
        </w:rPr>
        <w:t xml:space="preserve"> нем описываются меры, которые были реализованы</w:t>
      </w:r>
      <w:r w:rsidRPr="005F7836">
        <w:rPr>
          <w:rFonts w:cs="Arial"/>
          <w:lang w:val="ru-RU"/>
        </w:rPr>
        <w:t xml:space="preserve"> за почти двухлетний период после принятия логотипа Движения в декабре 2015 года, что </w:t>
      </w:r>
      <w:r w:rsidR="00BA29F9" w:rsidRPr="005F7836">
        <w:rPr>
          <w:rFonts w:cs="Arial"/>
          <w:lang w:val="ru-RU"/>
        </w:rPr>
        <w:t>стало отправной точкой в работе по данному направлению</w:t>
      </w:r>
      <w:r w:rsidRPr="005F7836">
        <w:rPr>
          <w:rFonts w:cs="Arial"/>
          <w:lang w:val="ru-RU"/>
        </w:rPr>
        <w:t xml:space="preserve">. </w:t>
      </w:r>
    </w:p>
    <w:p w14:paraId="47F9FD0D" w14:textId="1F033CB6" w:rsidR="009B4D6E" w:rsidRPr="005F7836" w:rsidRDefault="009B4D6E" w:rsidP="008D4244">
      <w:pPr>
        <w:pStyle w:val="CoDNormal"/>
        <w:rPr>
          <w:rFonts w:cs="Arial"/>
          <w:lang w:val="ru-RU"/>
        </w:rPr>
      </w:pPr>
      <w:r w:rsidRPr="005F7836">
        <w:rPr>
          <w:rFonts w:cs="Arial"/>
          <w:lang w:val="ru-RU"/>
        </w:rPr>
        <w:t>П</w:t>
      </w:r>
      <w:r w:rsidR="00BA29F9" w:rsidRPr="005F7836">
        <w:rPr>
          <w:rFonts w:cs="Arial"/>
          <w:lang w:val="ru-RU"/>
        </w:rPr>
        <w:t>осле принятия логотипа Движения</w:t>
      </w:r>
      <w:r w:rsidRPr="005F7836">
        <w:rPr>
          <w:rFonts w:cs="Arial"/>
          <w:lang w:val="ru-RU"/>
        </w:rPr>
        <w:t xml:space="preserve"> </w:t>
      </w:r>
      <w:r w:rsidR="00BA29F9" w:rsidRPr="005F7836">
        <w:rPr>
          <w:rFonts w:cs="Arial"/>
          <w:lang w:val="ru-RU"/>
        </w:rPr>
        <w:t>Международная</w:t>
      </w:r>
      <w:r w:rsidRPr="005F7836">
        <w:rPr>
          <w:rFonts w:cs="Arial"/>
          <w:lang w:val="ru-RU"/>
        </w:rPr>
        <w:t xml:space="preserve"> Федерация </w:t>
      </w:r>
      <w:r w:rsidR="00BA29F9" w:rsidRPr="005F7836">
        <w:rPr>
          <w:rFonts w:cs="Arial"/>
          <w:lang w:val="ru-RU"/>
        </w:rPr>
        <w:t>обществ Красного К</w:t>
      </w:r>
      <w:r w:rsidRPr="005F7836">
        <w:rPr>
          <w:rFonts w:cs="Arial"/>
          <w:lang w:val="ru-RU"/>
        </w:rPr>
        <w:t>реста</w:t>
      </w:r>
      <w:r w:rsidR="00BA29F9" w:rsidRPr="005F7836">
        <w:rPr>
          <w:rFonts w:cs="Arial"/>
          <w:lang w:val="ru-RU"/>
        </w:rPr>
        <w:t xml:space="preserve"> </w:t>
      </w:r>
      <w:r w:rsidRPr="005F7836">
        <w:rPr>
          <w:rFonts w:cs="Arial"/>
          <w:lang w:val="ru-RU"/>
        </w:rPr>
        <w:t>и Красного Полумесяца (МФОККиКП) и Международный Комитет Красного Креста (</w:t>
      </w:r>
      <w:r w:rsidR="00BA29F9" w:rsidRPr="005F7836">
        <w:rPr>
          <w:rFonts w:cs="Arial"/>
          <w:lang w:val="ru-RU"/>
        </w:rPr>
        <w:t>МККК), активно сотрудничали с национальными обществами Красного Креста и Красного Полумесяца (Национальными об</w:t>
      </w:r>
      <w:r w:rsidRPr="005F7836">
        <w:rPr>
          <w:rFonts w:cs="Arial"/>
          <w:lang w:val="ru-RU"/>
        </w:rPr>
        <w:t>щ</w:t>
      </w:r>
      <w:r w:rsidR="00BA29F9" w:rsidRPr="005F7836">
        <w:rPr>
          <w:rFonts w:cs="Arial"/>
          <w:lang w:val="ru-RU"/>
        </w:rPr>
        <w:t>е</w:t>
      </w:r>
      <w:r w:rsidRPr="005F7836">
        <w:rPr>
          <w:rFonts w:cs="Arial"/>
          <w:lang w:val="ru-RU"/>
        </w:rPr>
        <w:t>ствами)  в</w:t>
      </w:r>
      <w:r w:rsidR="00BA29F9" w:rsidRPr="005F7836">
        <w:rPr>
          <w:rFonts w:cs="Arial"/>
          <w:lang w:val="ru-RU"/>
        </w:rPr>
        <w:t xml:space="preserve"> </w:t>
      </w:r>
      <w:r w:rsidRPr="005F7836">
        <w:rPr>
          <w:rFonts w:cs="Arial"/>
          <w:lang w:val="ru-RU"/>
        </w:rPr>
        <w:t xml:space="preserve">области разработки концепции, целей и принципов </w:t>
      </w:r>
      <w:r w:rsidR="00BA29F9" w:rsidRPr="005F7836">
        <w:rPr>
          <w:rFonts w:cs="Arial"/>
          <w:lang w:val="ru-RU"/>
        </w:rPr>
        <w:t>мобилизации ресурсов</w:t>
      </w:r>
      <w:r w:rsidRPr="005F7836">
        <w:rPr>
          <w:rFonts w:cs="Arial"/>
          <w:lang w:val="ru-RU"/>
        </w:rPr>
        <w:t xml:space="preserve"> для того, чтобы помочь участникам Движения</w:t>
      </w:r>
      <w:r w:rsidR="00854855" w:rsidRPr="005F7836">
        <w:rPr>
          <w:rFonts w:cs="Arial"/>
          <w:lang w:val="ru-RU"/>
        </w:rPr>
        <w:t xml:space="preserve"> как в индивидуальном порядке, так и сообща повысить свой потенциал в области</w:t>
      </w:r>
      <w:r w:rsidR="001D3008" w:rsidRPr="005F7836">
        <w:rPr>
          <w:rFonts w:cs="Arial"/>
          <w:lang w:val="ru-RU"/>
        </w:rPr>
        <w:t xml:space="preserve"> привлечения</w:t>
      </w:r>
      <w:r w:rsidRPr="005F7836">
        <w:rPr>
          <w:rFonts w:cs="Arial"/>
          <w:lang w:val="ru-RU"/>
        </w:rPr>
        <w:t xml:space="preserve"> средств,</w:t>
      </w:r>
      <w:r w:rsidR="00854855" w:rsidRPr="005F7836">
        <w:rPr>
          <w:rFonts w:cs="Arial"/>
          <w:lang w:val="ru-RU"/>
        </w:rPr>
        <w:t xml:space="preserve"> действуя</w:t>
      </w:r>
      <w:r w:rsidRPr="005F7836">
        <w:rPr>
          <w:rFonts w:cs="Arial"/>
          <w:lang w:val="ru-RU"/>
        </w:rPr>
        <w:t xml:space="preserve"> в духе </w:t>
      </w:r>
      <w:r w:rsidR="00854855" w:rsidRPr="005F7836">
        <w:rPr>
          <w:rFonts w:cs="Arial"/>
          <w:lang w:val="ru-RU"/>
        </w:rPr>
        <w:t>сотрудничества</w:t>
      </w:r>
      <w:r w:rsidRPr="005F7836">
        <w:rPr>
          <w:rFonts w:cs="Arial"/>
          <w:lang w:val="ru-RU"/>
        </w:rPr>
        <w:t xml:space="preserve"> и эффективного партнерства.</w:t>
      </w:r>
    </w:p>
    <w:p w14:paraId="779761D7" w14:textId="4EADF0BD" w:rsidR="009B4D6E" w:rsidRPr="005F7836" w:rsidRDefault="009B4D6E" w:rsidP="00BD135F">
      <w:pPr>
        <w:pStyle w:val="CoDNormal"/>
        <w:rPr>
          <w:rFonts w:cs="Arial"/>
          <w:lang w:val="ru-RU"/>
        </w:rPr>
      </w:pPr>
      <w:r w:rsidRPr="005F7836">
        <w:rPr>
          <w:rFonts w:cs="Arial"/>
          <w:lang w:val="ru-RU"/>
        </w:rPr>
        <w:t xml:space="preserve">Концепция, цели и принципы </w:t>
      </w:r>
      <w:r w:rsidR="00854855" w:rsidRPr="005F7836">
        <w:rPr>
          <w:rFonts w:cs="Arial"/>
          <w:lang w:val="ru-RU"/>
        </w:rPr>
        <w:t xml:space="preserve">мобилизации ресурсов </w:t>
      </w:r>
      <w:r w:rsidRPr="005F7836">
        <w:rPr>
          <w:rFonts w:cs="Arial"/>
          <w:lang w:val="ru-RU"/>
        </w:rPr>
        <w:t>из</w:t>
      </w:r>
      <w:r w:rsidR="00854855" w:rsidRPr="005F7836">
        <w:rPr>
          <w:rFonts w:cs="Arial"/>
          <w:lang w:val="ru-RU"/>
        </w:rPr>
        <w:t>ложены в Приложении 1 к данной Р</w:t>
      </w:r>
      <w:r w:rsidRPr="005F7836">
        <w:rPr>
          <w:rFonts w:cs="Arial"/>
          <w:lang w:val="ru-RU"/>
        </w:rPr>
        <w:t xml:space="preserve">езолюции. В Приложении 2 </w:t>
      </w:r>
      <w:r w:rsidR="00854855" w:rsidRPr="005F7836">
        <w:rPr>
          <w:rFonts w:cs="Arial"/>
          <w:lang w:val="ru-RU"/>
        </w:rPr>
        <w:t>приводится</w:t>
      </w:r>
      <w:r w:rsidRPr="005F7836">
        <w:rPr>
          <w:rFonts w:cs="Arial"/>
          <w:lang w:val="ru-RU"/>
        </w:rPr>
        <w:t xml:space="preserve"> </w:t>
      </w:r>
      <w:r w:rsidR="00854855" w:rsidRPr="005F7836">
        <w:rPr>
          <w:rFonts w:cs="Arial"/>
          <w:lang w:val="ru-RU"/>
        </w:rPr>
        <w:t>экономическое</w:t>
      </w:r>
      <w:r w:rsidRPr="005F7836">
        <w:rPr>
          <w:rFonts w:cs="Arial"/>
          <w:lang w:val="ru-RU"/>
        </w:rPr>
        <w:t xml:space="preserve"> </w:t>
      </w:r>
      <w:r w:rsidR="00854855" w:rsidRPr="005F7836">
        <w:rPr>
          <w:rFonts w:cs="Arial"/>
          <w:lang w:val="ru-RU"/>
        </w:rPr>
        <w:t>обоснование трех итоговых проектов</w:t>
      </w:r>
      <w:r w:rsidRPr="005F7836">
        <w:rPr>
          <w:rFonts w:cs="Arial"/>
          <w:lang w:val="ru-RU"/>
        </w:rPr>
        <w:t xml:space="preserve">, </w:t>
      </w:r>
      <w:r w:rsidR="00854855" w:rsidRPr="005F7836">
        <w:rPr>
          <w:rFonts w:cs="Arial"/>
          <w:lang w:val="ru-RU"/>
        </w:rPr>
        <w:t>которые подготовили МККК, МФОККиКП и национальные общества</w:t>
      </w:r>
      <w:r w:rsidRPr="005F7836">
        <w:rPr>
          <w:rFonts w:cs="Arial"/>
          <w:lang w:val="ru-RU"/>
        </w:rPr>
        <w:t>, что</w:t>
      </w:r>
      <w:r w:rsidR="00854855" w:rsidRPr="005F7836">
        <w:rPr>
          <w:rFonts w:cs="Arial"/>
          <w:lang w:val="ru-RU"/>
        </w:rPr>
        <w:t>бы помо</w:t>
      </w:r>
      <w:r w:rsidRPr="005F7836">
        <w:rPr>
          <w:rFonts w:cs="Arial"/>
          <w:lang w:val="ru-RU"/>
        </w:rPr>
        <w:t>чь</w:t>
      </w:r>
      <w:r w:rsidR="00854855" w:rsidRPr="005F7836">
        <w:rPr>
          <w:rFonts w:cs="Arial"/>
          <w:lang w:val="ru-RU"/>
        </w:rPr>
        <w:t xml:space="preserve"> Движению повысить свой потенциал в области</w:t>
      </w:r>
      <w:r w:rsidRPr="005F7836">
        <w:rPr>
          <w:rFonts w:cs="Arial"/>
          <w:lang w:val="ru-RU"/>
        </w:rPr>
        <w:t xml:space="preserve"> привле</w:t>
      </w:r>
      <w:r w:rsidR="00854855" w:rsidRPr="005F7836">
        <w:rPr>
          <w:rFonts w:cs="Arial"/>
          <w:lang w:val="ru-RU"/>
        </w:rPr>
        <w:t>чения</w:t>
      </w:r>
      <w:r w:rsidRPr="005F7836">
        <w:rPr>
          <w:rFonts w:cs="Arial"/>
          <w:lang w:val="ru-RU"/>
        </w:rPr>
        <w:t xml:space="preserve"> средств. Если</w:t>
      </w:r>
      <w:r w:rsidR="00854855" w:rsidRPr="005F7836">
        <w:rPr>
          <w:rFonts w:cs="Arial"/>
          <w:lang w:val="ru-RU"/>
        </w:rPr>
        <w:t xml:space="preserve"> Р</w:t>
      </w:r>
      <w:r w:rsidRPr="005F7836">
        <w:rPr>
          <w:rFonts w:cs="Arial"/>
          <w:lang w:val="ru-RU"/>
        </w:rPr>
        <w:t>езолюция будет принята</w:t>
      </w:r>
      <w:r w:rsidR="00854855" w:rsidRPr="005F7836">
        <w:rPr>
          <w:rFonts w:cs="Arial"/>
          <w:lang w:val="ru-RU"/>
        </w:rPr>
        <w:t>, как ожидается,</w:t>
      </w:r>
      <w:r w:rsidRPr="005F7836">
        <w:rPr>
          <w:rFonts w:cs="Arial"/>
          <w:lang w:val="ru-RU"/>
        </w:rPr>
        <w:t xml:space="preserve"> эти </w:t>
      </w:r>
      <w:r w:rsidR="00854855" w:rsidRPr="005F7836">
        <w:rPr>
          <w:rFonts w:cs="Arial"/>
          <w:lang w:val="ru-RU"/>
        </w:rPr>
        <w:t>стратегические инициативы обеспечат</w:t>
      </w:r>
      <w:r w:rsidRPr="005F7836">
        <w:rPr>
          <w:rFonts w:cs="Arial"/>
          <w:lang w:val="ru-RU"/>
        </w:rPr>
        <w:t xml:space="preserve"> пр</w:t>
      </w:r>
      <w:r w:rsidR="00854855" w:rsidRPr="005F7836">
        <w:rPr>
          <w:rFonts w:cs="Arial"/>
          <w:lang w:val="ru-RU"/>
        </w:rPr>
        <w:t>актические решения, которые помогут</w:t>
      </w:r>
      <w:r w:rsidRPr="005F7836">
        <w:rPr>
          <w:rFonts w:cs="Arial"/>
          <w:lang w:val="ru-RU"/>
        </w:rPr>
        <w:t xml:space="preserve"> </w:t>
      </w:r>
      <w:r w:rsidR="00854855" w:rsidRPr="005F7836">
        <w:rPr>
          <w:rFonts w:cs="Arial"/>
          <w:lang w:val="ru-RU"/>
        </w:rPr>
        <w:t>участникам</w:t>
      </w:r>
      <w:r w:rsidRPr="005F7836">
        <w:rPr>
          <w:rFonts w:cs="Arial"/>
          <w:lang w:val="ru-RU"/>
        </w:rPr>
        <w:t xml:space="preserve"> Движения эффективно скоординировать свою деятельность по привлечению средств и развить свой потенциал для </w:t>
      </w:r>
      <w:r w:rsidR="00854855" w:rsidRPr="005F7836">
        <w:rPr>
          <w:rFonts w:cs="Arial"/>
          <w:lang w:val="ru-RU"/>
        </w:rPr>
        <w:t>мобилизации</w:t>
      </w:r>
      <w:r w:rsidRPr="005F7836">
        <w:rPr>
          <w:rFonts w:cs="Arial"/>
          <w:lang w:val="ru-RU"/>
        </w:rPr>
        <w:t xml:space="preserve"> достаточного объема ресурсов, что позволит </w:t>
      </w:r>
      <w:r w:rsidR="00854855" w:rsidRPr="005F7836">
        <w:rPr>
          <w:rFonts w:cs="Arial"/>
          <w:lang w:val="ru-RU"/>
        </w:rPr>
        <w:t>Движению обеспечивать</w:t>
      </w:r>
      <w:r w:rsidRPr="005F7836">
        <w:rPr>
          <w:rFonts w:cs="Arial"/>
          <w:lang w:val="ru-RU"/>
        </w:rPr>
        <w:t xml:space="preserve"> </w:t>
      </w:r>
      <w:r w:rsidR="00854855" w:rsidRPr="005F7836">
        <w:rPr>
          <w:rFonts w:cs="Arial"/>
          <w:lang w:val="ru-RU"/>
        </w:rPr>
        <w:t>потребности</w:t>
      </w:r>
      <w:r w:rsidRPr="005F7836">
        <w:rPr>
          <w:rFonts w:cs="Arial"/>
          <w:lang w:val="ru-RU"/>
        </w:rPr>
        <w:t xml:space="preserve"> людей в кризисных </w:t>
      </w:r>
      <w:r w:rsidR="00854855" w:rsidRPr="005F7836">
        <w:rPr>
          <w:rFonts w:cs="Arial"/>
          <w:lang w:val="ru-RU"/>
        </w:rPr>
        <w:t>ситуациях</w:t>
      </w:r>
      <w:r w:rsidRPr="005F7836">
        <w:rPr>
          <w:rFonts w:cs="Arial"/>
          <w:lang w:val="ru-RU"/>
        </w:rPr>
        <w:t xml:space="preserve">. Эти стратегические инициативы таковы: </w:t>
      </w:r>
    </w:p>
    <w:p w14:paraId="55E3816E" w14:textId="5B4403A6" w:rsidR="004D2237" w:rsidRPr="005F7836" w:rsidRDefault="00556CCC" w:rsidP="00556CCC">
      <w:pPr>
        <w:pStyle w:val="CoDBullet"/>
        <w:rPr>
          <w:rFonts w:cs="Arial"/>
          <w:lang w:val="ru-RU"/>
        </w:rPr>
      </w:pPr>
      <w:r w:rsidRPr="005F7836">
        <w:rPr>
          <w:rFonts w:cs="Arial"/>
          <w:b/>
          <w:lang w:val="ru-RU"/>
        </w:rPr>
        <w:t>Создание</w:t>
      </w:r>
      <w:r w:rsidR="00915197" w:rsidRPr="005F7836">
        <w:rPr>
          <w:rFonts w:cs="Arial"/>
          <w:b/>
          <w:lang w:val="ru-RU"/>
        </w:rPr>
        <w:t xml:space="preserve"> виртуальной площадки для привлечения</w:t>
      </w:r>
      <w:r w:rsidRPr="005F7836">
        <w:rPr>
          <w:rFonts w:cs="Arial"/>
          <w:b/>
          <w:lang w:val="ru-RU"/>
        </w:rPr>
        <w:t xml:space="preserve"> средств</w:t>
      </w:r>
      <w:r w:rsidR="004D2237" w:rsidRPr="005F7836">
        <w:rPr>
          <w:rFonts w:cs="Arial"/>
          <w:lang w:val="ru-RU"/>
        </w:rPr>
        <w:t xml:space="preserve"> </w:t>
      </w:r>
      <w:r w:rsidRPr="005F7836">
        <w:rPr>
          <w:rFonts w:cs="Arial"/>
          <w:lang w:val="ru-RU"/>
        </w:rPr>
        <w:t>в целях координации инициатив по</w:t>
      </w:r>
      <w:r w:rsidR="00FD369C" w:rsidRPr="005F7836">
        <w:rPr>
          <w:rFonts w:cs="Arial"/>
          <w:lang w:val="ru-RU"/>
        </w:rPr>
        <w:t xml:space="preserve"> развитию потенциала и совершенствованию</w:t>
      </w:r>
      <w:r w:rsidRPr="005F7836">
        <w:rPr>
          <w:rFonts w:cs="Arial"/>
          <w:lang w:val="ru-RU"/>
        </w:rPr>
        <w:t xml:space="preserve"> системы координации </w:t>
      </w:r>
      <w:r w:rsidR="00915197" w:rsidRPr="005F7836">
        <w:rPr>
          <w:rFonts w:cs="Arial"/>
          <w:lang w:val="ru-RU"/>
        </w:rPr>
        <w:t>действий внутри Движения</w:t>
      </w:r>
      <w:r w:rsidRPr="005F7836">
        <w:rPr>
          <w:rFonts w:cs="Arial"/>
          <w:lang w:val="ru-RU"/>
        </w:rPr>
        <w:t>, обмен</w:t>
      </w:r>
      <w:r w:rsidR="00915197" w:rsidRPr="005F7836">
        <w:rPr>
          <w:rFonts w:cs="Arial"/>
          <w:lang w:val="ru-RU"/>
        </w:rPr>
        <w:t>а</w:t>
      </w:r>
      <w:r w:rsidRPr="005F7836">
        <w:rPr>
          <w:rFonts w:cs="Arial"/>
          <w:lang w:val="ru-RU"/>
        </w:rPr>
        <w:t xml:space="preserve"> примерами</w:t>
      </w:r>
      <w:r w:rsidR="00915197" w:rsidRPr="005F7836">
        <w:rPr>
          <w:rFonts w:cs="Arial"/>
          <w:lang w:val="ru-RU"/>
        </w:rPr>
        <w:t xml:space="preserve"> передового опыта в области привлечения</w:t>
      </w:r>
      <w:r w:rsidRPr="005F7836">
        <w:rPr>
          <w:rFonts w:cs="Arial"/>
          <w:lang w:val="ru-RU"/>
        </w:rPr>
        <w:t xml:space="preserve"> средств, а также </w:t>
      </w:r>
      <w:r w:rsidR="007F071B" w:rsidRPr="005F7836">
        <w:rPr>
          <w:rFonts w:cs="Arial"/>
          <w:lang w:val="ru-RU"/>
        </w:rPr>
        <w:t>организации и координации</w:t>
      </w:r>
      <w:r w:rsidRPr="005F7836">
        <w:rPr>
          <w:rFonts w:cs="Arial"/>
          <w:lang w:val="ru-RU"/>
        </w:rPr>
        <w:t xml:space="preserve"> процесса обучен</w:t>
      </w:r>
      <w:r w:rsidR="00915197" w:rsidRPr="005F7836">
        <w:rPr>
          <w:rFonts w:cs="Arial"/>
          <w:lang w:val="ru-RU"/>
        </w:rPr>
        <w:t xml:space="preserve">ия и </w:t>
      </w:r>
      <w:r w:rsidR="007F071B" w:rsidRPr="005F7836">
        <w:rPr>
          <w:rFonts w:cs="Arial"/>
          <w:lang w:val="ru-RU"/>
        </w:rPr>
        <w:t>подготовки персонала по привлечению</w:t>
      </w:r>
      <w:r w:rsidRPr="005F7836">
        <w:rPr>
          <w:rFonts w:cs="Arial"/>
          <w:lang w:val="ru-RU"/>
        </w:rPr>
        <w:t xml:space="preserve"> средств внутри Движения</w:t>
      </w:r>
      <w:r w:rsidR="004D2237" w:rsidRPr="005F7836">
        <w:rPr>
          <w:rFonts w:cs="Arial"/>
          <w:lang w:val="ru-RU"/>
        </w:rPr>
        <w:t>;</w:t>
      </w:r>
    </w:p>
    <w:p w14:paraId="13E93833" w14:textId="23A49A22" w:rsidR="004D2237" w:rsidRPr="005F7836" w:rsidRDefault="007F071B" w:rsidP="00F02EAF">
      <w:pPr>
        <w:pStyle w:val="CoDBullet"/>
        <w:rPr>
          <w:rFonts w:cs="Arial"/>
          <w:lang w:val="ru-RU"/>
        </w:rPr>
      </w:pPr>
      <w:r w:rsidRPr="005F7836">
        <w:rPr>
          <w:rFonts w:cs="Arial"/>
          <w:b/>
          <w:lang w:val="ru-RU"/>
        </w:rPr>
        <w:t>Совершенствование системы доступа Движения к информации об эффективных методах привлечения средств и ее анализ</w:t>
      </w:r>
      <w:r w:rsidR="004655A5" w:rsidRPr="005F7836">
        <w:rPr>
          <w:rFonts w:cs="Arial"/>
          <w:b/>
          <w:lang w:val="ru-RU"/>
        </w:rPr>
        <w:t xml:space="preserve"> </w:t>
      </w:r>
      <w:r w:rsidRPr="005F7836">
        <w:rPr>
          <w:rFonts w:cs="Arial"/>
          <w:lang w:val="ru-RU"/>
        </w:rPr>
        <w:t>в целях поддержки</w:t>
      </w:r>
      <w:r w:rsidR="004655A5" w:rsidRPr="005F7836">
        <w:rPr>
          <w:rFonts w:cs="Arial"/>
          <w:lang w:val="ru-RU"/>
        </w:rPr>
        <w:t xml:space="preserve"> стратегического</w:t>
      </w:r>
      <w:r w:rsidR="009F27CF" w:rsidRPr="005F7836">
        <w:rPr>
          <w:rFonts w:cs="Arial"/>
          <w:lang w:val="ru-RU"/>
        </w:rPr>
        <w:t xml:space="preserve"> подхода к принятию</w:t>
      </w:r>
      <w:r w:rsidR="004655A5" w:rsidRPr="005F7836">
        <w:rPr>
          <w:rFonts w:cs="Arial"/>
          <w:lang w:val="ru-RU"/>
        </w:rPr>
        <w:t xml:space="preserve"> решений в области мобилизации ресурсов</w:t>
      </w:r>
      <w:r w:rsidR="004D2237" w:rsidRPr="005F7836">
        <w:rPr>
          <w:rFonts w:cs="Arial"/>
          <w:lang w:val="ru-RU"/>
        </w:rPr>
        <w:t>;</w:t>
      </w:r>
    </w:p>
    <w:p w14:paraId="751DAAD5" w14:textId="02E66576" w:rsidR="004D2237" w:rsidRPr="005F7836" w:rsidRDefault="004655A5" w:rsidP="00F02EAF">
      <w:pPr>
        <w:pStyle w:val="CoDBullet"/>
        <w:rPr>
          <w:rFonts w:cs="Arial"/>
          <w:lang w:val="ru-RU"/>
        </w:rPr>
      </w:pPr>
      <w:r w:rsidRPr="005F7836">
        <w:rPr>
          <w:rFonts w:cs="Arial"/>
          <w:b/>
          <w:lang w:val="ru-RU"/>
        </w:rPr>
        <w:t xml:space="preserve">Создание инвестиционного фонда </w:t>
      </w:r>
      <w:r w:rsidR="00116AA5" w:rsidRPr="005F7836">
        <w:rPr>
          <w:rFonts w:cs="Arial"/>
          <w:lang w:val="ru-RU"/>
        </w:rPr>
        <w:t>в целях содействия росту и развитию</w:t>
      </w:r>
      <w:r w:rsidRPr="005F7836">
        <w:rPr>
          <w:rFonts w:cs="Arial"/>
          <w:lang w:val="ru-RU"/>
        </w:rPr>
        <w:t xml:space="preserve"> </w:t>
      </w:r>
      <w:r w:rsidR="00AC4BD6" w:rsidRPr="005F7836">
        <w:rPr>
          <w:rFonts w:cs="Arial"/>
          <w:lang w:val="ru-RU"/>
        </w:rPr>
        <w:t>в области</w:t>
      </w:r>
      <w:r w:rsidR="00AC4BD6" w:rsidRPr="005F7836">
        <w:rPr>
          <w:rFonts w:cs="Arial"/>
          <w:b/>
          <w:lang w:val="ru-RU"/>
        </w:rPr>
        <w:t xml:space="preserve"> </w:t>
      </w:r>
      <w:r w:rsidR="00116AA5" w:rsidRPr="005F7836">
        <w:rPr>
          <w:rFonts w:cs="Arial"/>
          <w:lang w:val="ru-RU"/>
        </w:rPr>
        <w:t>привлечения</w:t>
      </w:r>
      <w:r w:rsidR="00AC4BD6" w:rsidRPr="005F7836">
        <w:rPr>
          <w:rFonts w:cs="Arial"/>
          <w:lang w:val="ru-RU"/>
        </w:rPr>
        <w:t xml:space="preserve"> средств</w:t>
      </w:r>
      <w:r w:rsidR="004D2237" w:rsidRPr="005F7836">
        <w:rPr>
          <w:rFonts w:cs="Arial"/>
          <w:lang w:val="ru-RU"/>
        </w:rPr>
        <w:t>.</w:t>
      </w:r>
    </w:p>
    <w:p w14:paraId="3E03BCE9" w14:textId="7CA63DA5" w:rsidR="00AC4BD6" w:rsidRPr="005F7836" w:rsidRDefault="00AC4BD6" w:rsidP="00F02EAF">
      <w:pPr>
        <w:pStyle w:val="CoDNormal"/>
        <w:rPr>
          <w:rFonts w:cs="Arial"/>
          <w:lang w:val="ru-RU"/>
        </w:rPr>
      </w:pPr>
      <w:r w:rsidRPr="005F7836">
        <w:rPr>
          <w:rFonts w:cs="Arial"/>
          <w:lang w:val="ru-RU"/>
        </w:rPr>
        <w:t xml:space="preserve">Серия </w:t>
      </w:r>
      <w:r w:rsidR="0074608E" w:rsidRPr="005F7836">
        <w:rPr>
          <w:rFonts w:cs="Arial"/>
          <w:lang w:val="ru-RU"/>
        </w:rPr>
        <w:t>консультаций</w:t>
      </w:r>
      <w:r w:rsidRPr="005F7836">
        <w:rPr>
          <w:rFonts w:cs="Arial"/>
          <w:lang w:val="ru-RU"/>
        </w:rPr>
        <w:t xml:space="preserve"> с руководством и техническими сп</w:t>
      </w:r>
      <w:r w:rsidR="0074608E" w:rsidRPr="005F7836">
        <w:rPr>
          <w:rFonts w:cs="Arial"/>
          <w:lang w:val="ru-RU"/>
        </w:rPr>
        <w:t>ециалистами</w:t>
      </w:r>
      <w:r w:rsidR="00E66EE4" w:rsidRPr="005F7836">
        <w:rPr>
          <w:rFonts w:cs="Arial"/>
          <w:lang w:val="ru-RU"/>
        </w:rPr>
        <w:t xml:space="preserve"> национальных обществ</w:t>
      </w:r>
      <w:r w:rsidR="0074608E" w:rsidRPr="005F7836">
        <w:rPr>
          <w:rFonts w:cs="Arial"/>
          <w:lang w:val="ru-RU"/>
        </w:rPr>
        <w:t>, а также опрос национальных обществ подтвердили, что все национальные общества подд</w:t>
      </w:r>
      <w:r w:rsidRPr="005F7836">
        <w:rPr>
          <w:rFonts w:cs="Arial"/>
          <w:lang w:val="ru-RU"/>
        </w:rPr>
        <w:t>е</w:t>
      </w:r>
      <w:r w:rsidR="0074608E" w:rsidRPr="005F7836">
        <w:rPr>
          <w:rFonts w:cs="Arial"/>
          <w:lang w:val="ru-RU"/>
        </w:rPr>
        <w:t>рж</w:t>
      </w:r>
      <w:r w:rsidRPr="005F7836">
        <w:rPr>
          <w:rFonts w:cs="Arial"/>
          <w:lang w:val="ru-RU"/>
        </w:rPr>
        <w:t>и</w:t>
      </w:r>
      <w:r w:rsidR="0074608E" w:rsidRPr="005F7836">
        <w:rPr>
          <w:rFonts w:cs="Arial"/>
          <w:lang w:val="ru-RU"/>
        </w:rPr>
        <w:t>вают идеи, на основании которых разрабатывалась концепция, цели и принципы</w:t>
      </w:r>
      <w:r w:rsidR="00E66EE4" w:rsidRPr="005F7836">
        <w:rPr>
          <w:rFonts w:cs="Arial"/>
          <w:lang w:val="ru-RU"/>
        </w:rPr>
        <w:t>,</w:t>
      </w:r>
      <w:r w:rsidR="0074608E" w:rsidRPr="005F7836">
        <w:rPr>
          <w:rFonts w:cs="Arial"/>
          <w:lang w:val="ru-RU"/>
        </w:rPr>
        <w:t xml:space="preserve"> и сходятся во мнении</w:t>
      </w:r>
      <w:r w:rsidRPr="005F7836">
        <w:rPr>
          <w:rFonts w:cs="Arial"/>
          <w:lang w:val="ru-RU"/>
        </w:rPr>
        <w:t>,</w:t>
      </w:r>
      <w:r w:rsidR="0074608E" w:rsidRPr="005F7836">
        <w:rPr>
          <w:rFonts w:cs="Arial"/>
          <w:lang w:val="ru-RU"/>
        </w:rPr>
        <w:t xml:space="preserve"> что реализация тре</w:t>
      </w:r>
      <w:r w:rsidR="00355FE9" w:rsidRPr="005F7836">
        <w:rPr>
          <w:rFonts w:cs="Arial"/>
          <w:lang w:val="ru-RU"/>
        </w:rPr>
        <w:t>х предлагаемых инициатив</w:t>
      </w:r>
      <w:r w:rsidR="0074608E" w:rsidRPr="005F7836">
        <w:rPr>
          <w:rFonts w:cs="Arial"/>
          <w:lang w:val="ru-RU"/>
        </w:rPr>
        <w:t xml:space="preserve"> – эффективный способ подд</w:t>
      </w:r>
      <w:r w:rsidRPr="005F7836">
        <w:rPr>
          <w:rFonts w:cs="Arial"/>
          <w:lang w:val="ru-RU"/>
        </w:rPr>
        <w:t>е</w:t>
      </w:r>
      <w:r w:rsidR="0074608E" w:rsidRPr="005F7836">
        <w:rPr>
          <w:rFonts w:cs="Arial"/>
          <w:lang w:val="ru-RU"/>
        </w:rPr>
        <w:t>р</w:t>
      </w:r>
      <w:r w:rsidRPr="005F7836">
        <w:rPr>
          <w:rFonts w:cs="Arial"/>
          <w:lang w:val="ru-RU"/>
        </w:rPr>
        <w:t>жат</w:t>
      </w:r>
      <w:r w:rsidR="0074608E" w:rsidRPr="005F7836">
        <w:rPr>
          <w:rFonts w:cs="Arial"/>
          <w:lang w:val="ru-RU"/>
        </w:rPr>
        <w:t xml:space="preserve">ь </w:t>
      </w:r>
      <w:r w:rsidR="00355FE9" w:rsidRPr="005F7836">
        <w:rPr>
          <w:rFonts w:cs="Arial"/>
          <w:lang w:val="ru-RU"/>
        </w:rPr>
        <w:t xml:space="preserve">усилия по </w:t>
      </w:r>
      <w:r w:rsidR="0074608E" w:rsidRPr="005F7836">
        <w:rPr>
          <w:rFonts w:cs="Arial"/>
          <w:lang w:val="ru-RU"/>
        </w:rPr>
        <w:t>коор</w:t>
      </w:r>
      <w:r w:rsidRPr="005F7836">
        <w:rPr>
          <w:rFonts w:cs="Arial"/>
          <w:lang w:val="ru-RU"/>
        </w:rPr>
        <w:t>дин</w:t>
      </w:r>
      <w:r w:rsidR="00355FE9" w:rsidRPr="005F7836">
        <w:rPr>
          <w:rFonts w:cs="Arial"/>
          <w:lang w:val="ru-RU"/>
        </w:rPr>
        <w:t>ации и развитию системы привлечения</w:t>
      </w:r>
      <w:r w:rsidR="0074608E" w:rsidRPr="005F7836">
        <w:rPr>
          <w:rFonts w:cs="Arial"/>
          <w:lang w:val="ru-RU"/>
        </w:rPr>
        <w:t xml:space="preserve"> </w:t>
      </w:r>
      <w:r w:rsidRPr="005F7836">
        <w:rPr>
          <w:rFonts w:cs="Arial"/>
          <w:lang w:val="ru-RU"/>
        </w:rPr>
        <w:t xml:space="preserve">средств. </w:t>
      </w:r>
    </w:p>
    <w:p w14:paraId="6CB7FF3A" w14:textId="1C7D5B3A" w:rsidR="00012471" w:rsidRPr="005F7836" w:rsidRDefault="00C95496" w:rsidP="00F02EAF">
      <w:pPr>
        <w:pStyle w:val="CoDNormal"/>
        <w:rPr>
          <w:rFonts w:cs="Arial"/>
          <w:lang w:val="ru-RU"/>
        </w:rPr>
      </w:pPr>
      <w:r w:rsidRPr="005F7836">
        <w:rPr>
          <w:rFonts w:cs="Arial"/>
          <w:lang w:val="ru-RU"/>
        </w:rPr>
        <w:t>В итоговом разделе</w:t>
      </w:r>
      <w:r w:rsidR="00AC4BD6" w:rsidRPr="005F7836">
        <w:rPr>
          <w:rFonts w:cs="Arial"/>
          <w:lang w:val="ru-RU"/>
        </w:rPr>
        <w:t xml:space="preserve"> данного отчета сформулирован ряд реком</w:t>
      </w:r>
      <w:r w:rsidRPr="005F7836">
        <w:rPr>
          <w:rFonts w:cs="Arial"/>
          <w:lang w:val="ru-RU"/>
        </w:rPr>
        <w:t xml:space="preserve">ендаций для МККК, </w:t>
      </w:r>
      <w:r w:rsidR="00FE19BE" w:rsidRPr="005F7836">
        <w:rPr>
          <w:rFonts w:cs="Arial"/>
          <w:lang w:val="ru-RU"/>
        </w:rPr>
        <w:t>МФОККиКП и национал</w:t>
      </w:r>
      <w:r w:rsidR="00E66EE4" w:rsidRPr="005F7836">
        <w:rPr>
          <w:rFonts w:cs="Arial"/>
          <w:lang w:val="ru-RU"/>
        </w:rPr>
        <w:t xml:space="preserve">ьных обществ по реализации </w:t>
      </w:r>
      <w:r w:rsidR="00AC4BD6" w:rsidRPr="005F7836">
        <w:rPr>
          <w:rFonts w:cs="Arial"/>
          <w:lang w:val="ru-RU"/>
        </w:rPr>
        <w:t xml:space="preserve">концепции, целей, </w:t>
      </w:r>
      <w:r w:rsidRPr="005F7836">
        <w:rPr>
          <w:rFonts w:cs="Arial"/>
          <w:lang w:val="ru-RU"/>
        </w:rPr>
        <w:t>принципов</w:t>
      </w:r>
      <w:r w:rsidR="00FE19BE" w:rsidRPr="005F7836">
        <w:rPr>
          <w:rFonts w:cs="Arial"/>
          <w:lang w:val="ru-RU"/>
        </w:rPr>
        <w:t xml:space="preserve"> и соответствующих инициатив по  </w:t>
      </w:r>
      <w:r w:rsidR="00AC4BD6" w:rsidRPr="005F7836">
        <w:rPr>
          <w:rFonts w:cs="Arial"/>
          <w:lang w:val="ru-RU"/>
        </w:rPr>
        <w:t>мобилизации ресурсов</w:t>
      </w:r>
      <w:r w:rsidR="00E66EE4" w:rsidRPr="005F7836">
        <w:rPr>
          <w:rFonts w:cs="Arial"/>
          <w:lang w:val="ru-RU"/>
        </w:rPr>
        <w:t xml:space="preserve"> в масштабах Движения</w:t>
      </w:r>
      <w:r w:rsidR="00AC4BD6" w:rsidRPr="005F7836">
        <w:rPr>
          <w:rFonts w:cs="Arial"/>
          <w:lang w:val="ru-RU"/>
        </w:rPr>
        <w:t>.</w:t>
      </w:r>
      <w:r w:rsidR="00012471" w:rsidRPr="005F7836">
        <w:rPr>
          <w:rFonts w:cs="Arial"/>
          <w:lang w:val="ru-RU"/>
        </w:rPr>
        <w:br w:type="page"/>
      </w:r>
    </w:p>
    <w:p w14:paraId="38073F3A" w14:textId="6AFF614B" w:rsidR="007529C7" w:rsidRPr="005F7836" w:rsidRDefault="00AC4BD6" w:rsidP="00F02EAF">
      <w:pPr>
        <w:pStyle w:val="CoDHeading1"/>
        <w:numPr>
          <w:ilvl w:val="0"/>
          <w:numId w:val="23"/>
        </w:numPr>
        <w:rPr>
          <w:rFonts w:cs="Arial"/>
          <w:sz w:val="22"/>
          <w:lang w:val="ru-RU"/>
        </w:rPr>
      </w:pPr>
      <w:r w:rsidRPr="005F7836">
        <w:rPr>
          <w:rFonts w:cs="Arial"/>
          <w:sz w:val="22"/>
          <w:lang w:val="ru-RU"/>
        </w:rPr>
        <w:lastRenderedPageBreak/>
        <w:t>ВВЕДЕНИЕ</w:t>
      </w:r>
    </w:p>
    <w:p w14:paraId="143BE9D7" w14:textId="5DEF89B7" w:rsidR="00A25DBE" w:rsidRPr="005F7836" w:rsidRDefault="004752EE" w:rsidP="00F02EAF">
      <w:pPr>
        <w:pStyle w:val="CoDNormal"/>
        <w:rPr>
          <w:rFonts w:cs="Arial"/>
          <w:lang w:val="ru-RU"/>
        </w:rPr>
      </w:pPr>
      <w:r w:rsidRPr="005F7836">
        <w:rPr>
          <w:rFonts w:cs="Arial"/>
          <w:lang w:val="ru-RU"/>
        </w:rPr>
        <w:t>Мы живем в мире, где из-за вооруженных конфликтов</w:t>
      </w:r>
      <w:r w:rsidR="00A25DBE" w:rsidRPr="005F7836">
        <w:rPr>
          <w:rFonts w:cs="Arial"/>
          <w:lang w:val="ru-RU"/>
        </w:rPr>
        <w:t>,</w:t>
      </w:r>
      <w:r w:rsidRPr="005F7836">
        <w:rPr>
          <w:rFonts w:cs="Arial"/>
          <w:lang w:val="ru-RU"/>
        </w:rPr>
        <w:t xml:space="preserve"> природных катаклизмов и других чрезвычайных ситуаций</w:t>
      </w:r>
      <w:r w:rsidR="00A25DBE" w:rsidRPr="005F7836">
        <w:rPr>
          <w:rFonts w:cs="Arial"/>
          <w:lang w:val="ru-RU"/>
        </w:rPr>
        <w:t xml:space="preserve"> пропасть между </w:t>
      </w:r>
      <w:r w:rsidR="00184511" w:rsidRPr="005F7836">
        <w:rPr>
          <w:rFonts w:cs="Arial"/>
          <w:lang w:val="ru-RU"/>
        </w:rPr>
        <w:t xml:space="preserve">первоочередными потребностями человека и имеющимися </w:t>
      </w:r>
      <w:r w:rsidR="00A25DBE" w:rsidRPr="005F7836">
        <w:rPr>
          <w:rFonts w:cs="Arial"/>
          <w:lang w:val="ru-RU"/>
        </w:rPr>
        <w:t>ресурсами</w:t>
      </w:r>
      <w:r w:rsidR="007A6722" w:rsidRPr="005F7836">
        <w:rPr>
          <w:rFonts w:cs="Arial"/>
          <w:lang w:val="ru-RU"/>
        </w:rPr>
        <w:t xml:space="preserve"> неизменно растет</w:t>
      </w:r>
      <w:r w:rsidR="00522709" w:rsidRPr="005F7836">
        <w:rPr>
          <w:rFonts w:cs="Arial"/>
          <w:lang w:val="ru-RU"/>
        </w:rPr>
        <w:t>.</w:t>
      </w:r>
      <w:r w:rsidR="00B4765A" w:rsidRPr="005F7836">
        <w:rPr>
          <w:rStyle w:val="af4"/>
          <w:rFonts w:cs="Arial"/>
          <w:lang w:val="ru-RU"/>
        </w:rPr>
        <w:footnoteReference w:id="2"/>
      </w:r>
      <w:r w:rsidR="00B4765A" w:rsidRPr="005F7836">
        <w:rPr>
          <w:rFonts w:cs="Arial"/>
          <w:lang w:val="ru-RU"/>
        </w:rPr>
        <w:t xml:space="preserve"> </w:t>
      </w:r>
      <w:r w:rsidR="00A25DBE" w:rsidRPr="005F7836">
        <w:rPr>
          <w:rFonts w:cs="Arial"/>
          <w:lang w:val="ru-RU"/>
        </w:rPr>
        <w:t xml:space="preserve">Никогда </w:t>
      </w:r>
      <w:r w:rsidR="00184511" w:rsidRPr="005F7836">
        <w:rPr>
          <w:rFonts w:cs="Arial"/>
          <w:lang w:val="ru-RU"/>
        </w:rPr>
        <w:t>прежде коллективные усилия участников Движения не были столь важны</w:t>
      </w:r>
      <w:r w:rsidR="00A25DBE" w:rsidRPr="005F7836">
        <w:rPr>
          <w:rFonts w:cs="Arial"/>
          <w:lang w:val="ru-RU"/>
        </w:rPr>
        <w:t>. И несмотря на</w:t>
      </w:r>
      <w:r w:rsidR="007A6722" w:rsidRPr="005F7836">
        <w:rPr>
          <w:rFonts w:cs="Arial"/>
          <w:lang w:val="ru-RU"/>
        </w:rPr>
        <w:t xml:space="preserve"> это, наши доходы, как Движения</w:t>
      </w:r>
      <w:r w:rsidR="00A25DBE" w:rsidRPr="005F7836">
        <w:rPr>
          <w:rFonts w:cs="Arial"/>
          <w:lang w:val="ru-RU"/>
        </w:rPr>
        <w:t>,</w:t>
      </w:r>
      <w:r w:rsidR="007A6722" w:rsidRPr="005F7836">
        <w:rPr>
          <w:rFonts w:cs="Arial"/>
          <w:lang w:val="ru-RU"/>
        </w:rPr>
        <w:t xml:space="preserve"> в целом,</w:t>
      </w:r>
      <w:r w:rsidR="00A25DBE" w:rsidRPr="005F7836">
        <w:rPr>
          <w:rFonts w:cs="Arial"/>
          <w:lang w:val="ru-RU"/>
        </w:rPr>
        <w:t xml:space="preserve"> не  увеличиваются</w:t>
      </w:r>
      <w:r w:rsidR="007A6722" w:rsidRPr="005F7836">
        <w:rPr>
          <w:rFonts w:cs="Arial"/>
          <w:lang w:val="ru-RU"/>
        </w:rPr>
        <w:t xml:space="preserve"> столь существенно,</w:t>
      </w:r>
      <w:r w:rsidR="00A25DBE" w:rsidRPr="005F7836">
        <w:rPr>
          <w:rFonts w:cs="Arial"/>
          <w:lang w:val="ru-RU"/>
        </w:rPr>
        <w:t xml:space="preserve"> чтобы</w:t>
      </w:r>
      <w:r w:rsidR="007A6722" w:rsidRPr="005F7836">
        <w:rPr>
          <w:rFonts w:cs="Arial"/>
          <w:lang w:val="ru-RU"/>
        </w:rPr>
        <w:t xml:space="preserve"> мы могли</w:t>
      </w:r>
      <w:r w:rsidR="00A25DBE" w:rsidRPr="005F7836">
        <w:rPr>
          <w:rFonts w:cs="Arial"/>
          <w:lang w:val="ru-RU"/>
        </w:rPr>
        <w:t xml:space="preserve"> </w:t>
      </w:r>
      <w:r w:rsidR="007A6722" w:rsidRPr="005F7836">
        <w:rPr>
          <w:rFonts w:cs="Arial"/>
          <w:lang w:val="ru-RU"/>
        </w:rPr>
        <w:t>обеспечить</w:t>
      </w:r>
      <w:r w:rsidR="00A25DBE" w:rsidRPr="005F7836">
        <w:rPr>
          <w:rFonts w:cs="Arial"/>
          <w:lang w:val="ru-RU"/>
        </w:rPr>
        <w:t xml:space="preserve"> растущие потр</w:t>
      </w:r>
      <w:r w:rsidR="00C85A77" w:rsidRPr="005F7836">
        <w:rPr>
          <w:rFonts w:cs="Arial"/>
          <w:lang w:val="ru-RU"/>
        </w:rPr>
        <w:t>е</w:t>
      </w:r>
      <w:r w:rsidR="00A25DBE" w:rsidRPr="005F7836">
        <w:rPr>
          <w:rFonts w:cs="Arial"/>
          <w:lang w:val="ru-RU"/>
        </w:rPr>
        <w:t xml:space="preserve">бности. </w:t>
      </w:r>
    </w:p>
    <w:p w14:paraId="6DB100DC" w14:textId="605ACABB" w:rsidR="00A25DBE" w:rsidRPr="005F7836" w:rsidRDefault="00E66EE4" w:rsidP="00F02EAF">
      <w:pPr>
        <w:pStyle w:val="CoDNormal"/>
        <w:rPr>
          <w:rFonts w:cs="Arial"/>
          <w:lang w:val="ru-RU"/>
        </w:rPr>
      </w:pPr>
      <w:r w:rsidRPr="005F7836">
        <w:rPr>
          <w:rFonts w:cs="Arial"/>
          <w:lang w:val="ru-RU"/>
        </w:rPr>
        <w:t>Чтобы продолжить оказание услуг</w:t>
      </w:r>
      <w:r w:rsidR="002771C8" w:rsidRPr="005F7836">
        <w:rPr>
          <w:rFonts w:cs="Arial"/>
          <w:lang w:val="ru-RU"/>
        </w:rPr>
        <w:t xml:space="preserve"> нуждающимся Движению необходима мощная и устойчивая доходная база</w:t>
      </w:r>
      <w:r w:rsidR="00A25DBE" w:rsidRPr="005F7836">
        <w:rPr>
          <w:rFonts w:cs="Arial"/>
          <w:lang w:val="ru-RU"/>
        </w:rPr>
        <w:t xml:space="preserve"> как</w:t>
      </w:r>
      <w:r w:rsidR="002771C8" w:rsidRPr="005F7836">
        <w:rPr>
          <w:rFonts w:cs="Arial"/>
          <w:lang w:val="ru-RU"/>
        </w:rPr>
        <w:t xml:space="preserve"> на местном, так и на междун</w:t>
      </w:r>
      <w:r w:rsidRPr="005F7836">
        <w:rPr>
          <w:rFonts w:cs="Arial"/>
          <w:lang w:val="ru-RU"/>
        </w:rPr>
        <w:t>ародном уровне. По этой причине</w:t>
      </w:r>
      <w:r w:rsidR="002771C8" w:rsidRPr="005F7836">
        <w:rPr>
          <w:rFonts w:cs="Arial"/>
          <w:lang w:val="ru-RU"/>
        </w:rPr>
        <w:t xml:space="preserve"> все</w:t>
      </w:r>
      <w:r w:rsidR="00A25DBE" w:rsidRPr="005F7836">
        <w:rPr>
          <w:rFonts w:cs="Arial"/>
          <w:lang w:val="ru-RU"/>
        </w:rPr>
        <w:t xml:space="preserve"> участник</w:t>
      </w:r>
      <w:r w:rsidR="002771C8" w:rsidRPr="005F7836">
        <w:rPr>
          <w:rFonts w:cs="Arial"/>
          <w:lang w:val="ru-RU"/>
        </w:rPr>
        <w:t>и</w:t>
      </w:r>
      <w:r w:rsidR="00A25DBE" w:rsidRPr="005F7836">
        <w:rPr>
          <w:rFonts w:cs="Arial"/>
          <w:lang w:val="ru-RU"/>
        </w:rPr>
        <w:t xml:space="preserve"> Движения </w:t>
      </w:r>
      <w:r w:rsidR="002771C8" w:rsidRPr="005F7836">
        <w:rPr>
          <w:rFonts w:cs="Arial"/>
          <w:lang w:val="ru-RU"/>
        </w:rPr>
        <w:t xml:space="preserve">должны работать сообща </w:t>
      </w:r>
      <w:r w:rsidR="00A25DBE" w:rsidRPr="005F7836">
        <w:rPr>
          <w:rFonts w:cs="Arial"/>
          <w:lang w:val="ru-RU"/>
        </w:rPr>
        <w:t>в духе сотру</w:t>
      </w:r>
      <w:r w:rsidR="002771C8" w:rsidRPr="005F7836">
        <w:rPr>
          <w:rFonts w:cs="Arial"/>
          <w:lang w:val="ru-RU"/>
        </w:rPr>
        <w:t>д</w:t>
      </w:r>
      <w:r w:rsidR="00A25DBE" w:rsidRPr="005F7836">
        <w:rPr>
          <w:rFonts w:cs="Arial"/>
          <w:lang w:val="ru-RU"/>
        </w:rPr>
        <w:t xml:space="preserve">ничества и </w:t>
      </w:r>
      <w:r w:rsidR="002771C8" w:rsidRPr="005F7836">
        <w:rPr>
          <w:rFonts w:cs="Arial"/>
          <w:lang w:val="ru-RU"/>
        </w:rPr>
        <w:t>эффективного</w:t>
      </w:r>
      <w:r w:rsidR="00A25DBE" w:rsidRPr="005F7836">
        <w:rPr>
          <w:rFonts w:cs="Arial"/>
          <w:lang w:val="ru-RU"/>
        </w:rPr>
        <w:t xml:space="preserve"> </w:t>
      </w:r>
      <w:r w:rsidR="002771C8" w:rsidRPr="005F7836">
        <w:rPr>
          <w:rFonts w:cs="Arial"/>
          <w:lang w:val="ru-RU"/>
        </w:rPr>
        <w:t>партнерства</w:t>
      </w:r>
      <w:r w:rsidR="00A25DBE" w:rsidRPr="005F7836">
        <w:rPr>
          <w:rFonts w:cs="Arial"/>
          <w:lang w:val="ru-RU"/>
        </w:rPr>
        <w:t xml:space="preserve">, </w:t>
      </w:r>
      <w:r w:rsidR="002771C8" w:rsidRPr="005F7836">
        <w:rPr>
          <w:rFonts w:cs="Arial"/>
          <w:lang w:val="ru-RU"/>
        </w:rPr>
        <w:t>поддерживая</w:t>
      </w:r>
      <w:r w:rsidR="00A25DBE" w:rsidRPr="005F7836">
        <w:rPr>
          <w:rFonts w:cs="Arial"/>
          <w:lang w:val="ru-RU"/>
        </w:rPr>
        <w:t xml:space="preserve"> други</w:t>
      </w:r>
      <w:r w:rsidRPr="005F7836">
        <w:rPr>
          <w:rFonts w:cs="Arial"/>
          <w:lang w:val="ru-RU"/>
        </w:rPr>
        <w:t xml:space="preserve">х участников </w:t>
      </w:r>
      <w:r w:rsidR="002771C8" w:rsidRPr="005F7836">
        <w:rPr>
          <w:rFonts w:cs="Arial"/>
          <w:lang w:val="ru-RU"/>
        </w:rPr>
        <w:t>посредством развития</w:t>
      </w:r>
      <w:r w:rsidR="005E0CF9" w:rsidRPr="005F7836">
        <w:rPr>
          <w:rFonts w:cs="Arial"/>
          <w:lang w:val="ru-RU"/>
        </w:rPr>
        <w:t xml:space="preserve"> своего</w:t>
      </w:r>
      <w:r w:rsidR="00A25DBE" w:rsidRPr="005F7836">
        <w:rPr>
          <w:rFonts w:cs="Arial"/>
          <w:lang w:val="ru-RU"/>
        </w:rPr>
        <w:t xml:space="preserve"> потенциала п</w:t>
      </w:r>
      <w:r w:rsidR="005E0CF9" w:rsidRPr="005F7836">
        <w:rPr>
          <w:rFonts w:cs="Arial"/>
          <w:lang w:val="ru-RU"/>
        </w:rPr>
        <w:t xml:space="preserve">о привлечению средств. Многие национальные общества обладают достаточной силой и </w:t>
      </w:r>
      <w:r w:rsidR="00A25DBE" w:rsidRPr="005F7836">
        <w:rPr>
          <w:rFonts w:cs="Arial"/>
          <w:lang w:val="ru-RU"/>
        </w:rPr>
        <w:t>финансово</w:t>
      </w:r>
      <w:r w:rsidR="005E0CF9" w:rsidRPr="005F7836">
        <w:rPr>
          <w:rFonts w:cs="Arial"/>
          <w:lang w:val="ru-RU"/>
        </w:rPr>
        <w:t>й защищенностью</w:t>
      </w:r>
      <w:r w:rsidR="00A25DBE" w:rsidRPr="005F7836">
        <w:rPr>
          <w:rFonts w:cs="Arial"/>
          <w:lang w:val="ru-RU"/>
        </w:rPr>
        <w:t xml:space="preserve">, в то время как другие </w:t>
      </w:r>
      <w:r w:rsidR="00BD296A" w:rsidRPr="005F7836">
        <w:rPr>
          <w:rFonts w:cs="Arial"/>
          <w:lang w:val="ru-RU"/>
        </w:rPr>
        <w:t xml:space="preserve">осуществляют </w:t>
      </w:r>
      <w:r w:rsidR="005E0CF9" w:rsidRPr="005F7836">
        <w:rPr>
          <w:rFonts w:cs="Arial"/>
          <w:lang w:val="ru-RU"/>
        </w:rPr>
        <w:t>важные шаги по развитию собст</w:t>
      </w:r>
      <w:r w:rsidR="00A25DBE" w:rsidRPr="005F7836">
        <w:rPr>
          <w:rFonts w:cs="Arial"/>
          <w:lang w:val="ru-RU"/>
        </w:rPr>
        <w:t>в</w:t>
      </w:r>
      <w:r w:rsidR="005E0CF9" w:rsidRPr="005F7836">
        <w:rPr>
          <w:rFonts w:cs="Arial"/>
          <w:lang w:val="ru-RU"/>
        </w:rPr>
        <w:t>е</w:t>
      </w:r>
      <w:r w:rsidR="00A25DBE" w:rsidRPr="005F7836">
        <w:rPr>
          <w:rFonts w:cs="Arial"/>
          <w:lang w:val="ru-RU"/>
        </w:rPr>
        <w:t xml:space="preserve">нных </w:t>
      </w:r>
      <w:r w:rsidR="005E0CF9" w:rsidRPr="005F7836">
        <w:rPr>
          <w:rFonts w:cs="Arial"/>
          <w:lang w:val="ru-RU"/>
        </w:rPr>
        <w:t>стратегических</w:t>
      </w:r>
      <w:r w:rsidR="00A25DBE" w:rsidRPr="005F7836">
        <w:rPr>
          <w:rFonts w:cs="Arial"/>
          <w:lang w:val="ru-RU"/>
        </w:rPr>
        <w:t xml:space="preserve"> возможностей </w:t>
      </w:r>
      <w:r w:rsidR="005E0CF9" w:rsidRPr="005F7836">
        <w:rPr>
          <w:rFonts w:cs="Arial"/>
          <w:lang w:val="ru-RU"/>
        </w:rPr>
        <w:t>финансирования</w:t>
      </w:r>
      <w:r w:rsidR="00BD296A" w:rsidRPr="005F7836">
        <w:rPr>
          <w:rFonts w:cs="Arial"/>
          <w:lang w:val="ru-RU"/>
        </w:rPr>
        <w:t xml:space="preserve">. Тем не менее, есть и такие национальные общества, </w:t>
      </w:r>
      <w:r w:rsidR="00A25DBE" w:rsidRPr="005F7836">
        <w:rPr>
          <w:rFonts w:cs="Arial"/>
          <w:lang w:val="ru-RU"/>
        </w:rPr>
        <w:t>к</w:t>
      </w:r>
      <w:r w:rsidR="00BD296A" w:rsidRPr="005F7836">
        <w:rPr>
          <w:rFonts w:cs="Arial"/>
          <w:lang w:val="ru-RU"/>
        </w:rPr>
        <w:t>о</w:t>
      </w:r>
      <w:r w:rsidR="00A25DBE" w:rsidRPr="005F7836">
        <w:rPr>
          <w:rFonts w:cs="Arial"/>
          <w:lang w:val="ru-RU"/>
        </w:rPr>
        <w:t>торые не</w:t>
      </w:r>
      <w:r w:rsidR="00BD296A" w:rsidRPr="005F7836">
        <w:rPr>
          <w:rFonts w:cs="Arial"/>
          <w:lang w:val="ru-RU"/>
        </w:rPr>
        <w:t xml:space="preserve"> осуществляют стратегических инвестиции </w:t>
      </w:r>
      <w:r w:rsidR="00A25DBE" w:rsidRPr="005F7836">
        <w:rPr>
          <w:rFonts w:cs="Arial"/>
          <w:lang w:val="ru-RU"/>
        </w:rPr>
        <w:t>в операц</w:t>
      </w:r>
      <w:r w:rsidR="00BD296A" w:rsidRPr="005F7836">
        <w:rPr>
          <w:rFonts w:cs="Arial"/>
          <w:lang w:val="ru-RU"/>
        </w:rPr>
        <w:t>ии по привлечению средств и не привлекают к работе профессиональных специалистов</w:t>
      </w:r>
      <w:r w:rsidR="00A25DBE" w:rsidRPr="005F7836">
        <w:rPr>
          <w:rFonts w:cs="Arial"/>
          <w:lang w:val="ru-RU"/>
        </w:rPr>
        <w:t xml:space="preserve"> по привлечению сре</w:t>
      </w:r>
      <w:r w:rsidR="00BD296A" w:rsidRPr="005F7836">
        <w:rPr>
          <w:rFonts w:cs="Arial"/>
          <w:lang w:val="ru-RU"/>
        </w:rPr>
        <w:t>дств,</w:t>
      </w:r>
      <w:r w:rsidR="00A25DBE" w:rsidRPr="005F7836">
        <w:rPr>
          <w:rFonts w:cs="Arial"/>
          <w:lang w:val="ru-RU"/>
        </w:rPr>
        <w:t xml:space="preserve"> н</w:t>
      </w:r>
      <w:r w:rsidR="00BD296A" w:rsidRPr="005F7836">
        <w:rPr>
          <w:rFonts w:cs="Arial"/>
          <w:lang w:val="ru-RU"/>
        </w:rPr>
        <w:t>е справляясь</w:t>
      </w:r>
      <w:r w:rsidR="00A25DBE" w:rsidRPr="005F7836">
        <w:rPr>
          <w:rFonts w:cs="Arial"/>
          <w:lang w:val="ru-RU"/>
        </w:rPr>
        <w:t xml:space="preserve"> с</w:t>
      </w:r>
      <w:r w:rsidR="00BD296A" w:rsidRPr="005F7836">
        <w:rPr>
          <w:rFonts w:cs="Arial"/>
          <w:lang w:val="ru-RU"/>
        </w:rPr>
        <w:t xml:space="preserve"> задачей по наращиванию</w:t>
      </w:r>
      <w:r w:rsidR="00A25DBE" w:rsidRPr="005F7836">
        <w:rPr>
          <w:rFonts w:cs="Arial"/>
          <w:lang w:val="ru-RU"/>
        </w:rPr>
        <w:t xml:space="preserve"> своего п</w:t>
      </w:r>
      <w:r w:rsidR="00BD296A" w:rsidRPr="005F7836">
        <w:rPr>
          <w:rFonts w:cs="Arial"/>
          <w:lang w:val="ru-RU"/>
        </w:rPr>
        <w:t>отенциала в данной области. При этом, значи</w:t>
      </w:r>
      <w:r w:rsidR="00A25DBE" w:rsidRPr="005F7836">
        <w:rPr>
          <w:rFonts w:cs="Arial"/>
          <w:lang w:val="ru-RU"/>
        </w:rPr>
        <w:t>т</w:t>
      </w:r>
      <w:r w:rsidR="00BD296A" w:rsidRPr="005F7836">
        <w:rPr>
          <w:rFonts w:cs="Arial"/>
          <w:lang w:val="ru-RU"/>
        </w:rPr>
        <w:t>ельное число национальных обществ</w:t>
      </w:r>
      <w:r w:rsidR="00773535" w:rsidRPr="005F7836">
        <w:rPr>
          <w:rFonts w:cs="Arial"/>
          <w:lang w:val="ru-RU"/>
        </w:rPr>
        <w:t xml:space="preserve"> сталкиваю</w:t>
      </w:r>
      <w:r w:rsidR="00A25DBE" w:rsidRPr="005F7836">
        <w:rPr>
          <w:rFonts w:cs="Arial"/>
          <w:lang w:val="ru-RU"/>
        </w:rPr>
        <w:t xml:space="preserve">тся с серьезными сложностями в </w:t>
      </w:r>
      <w:r w:rsidR="00BD296A" w:rsidRPr="005F7836">
        <w:rPr>
          <w:rFonts w:cs="Arial"/>
          <w:lang w:val="ru-RU"/>
        </w:rPr>
        <w:t>обеспечении</w:t>
      </w:r>
      <w:r w:rsidR="00A25DBE" w:rsidRPr="005F7836">
        <w:rPr>
          <w:rFonts w:cs="Arial"/>
          <w:lang w:val="ru-RU"/>
        </w:rPr>
        <w:t xml:space="preserve"> гуманитарн</w:t>
      </w:r>
      <w:r w:rsidR="00BD296A" w:rsidRPr="005F7836">
        <w:rPr>
          <w:rFonts w:cs="Arial"/>
          <w:lang w:val="ru-RU"/>
        </w:rPr>
        <w:t>ых потребностей во многом из-за недост</w:t>
      </w:r>
      <w:r w:rsidR="00773535" w:rsidRPr="005F7836">
        <w:rPr>
          <w:rFonts w:cs="Arial"/>
          <w:lang w:val="ru-RU"/>
        </w:rPr>
        <w:t>атка возможностей</w:t>
      </w:r>
      <w:r w:rsidR="00BD296A" w:rsidRPr="005F7836">
        <w:rPr>
          <w:rFonts w:cs="Arial"/>
          <w:lang w:val="ru-RU"/>
        </w:rPr>
        <w:t xml:space="preserve"> создать </w:t>
      </w:r>
      <w:r w:rsidR="00A25DBE" w:rsidRPr="005F7836">
        <w:rPr>
          <w:rFonts w:cs="Arial"/>
          <w:lang w:val="ru-RU"/>
        </w:rPr>
        <w:t>у</w:t>
      </w:r>
      <w:r w:rsidR="00BD296A" w:rsidRPr="005F7836">
        <w:rPr>
          <w:rFonts w:cs="Arial"/>
          <w:lang w:val="ru-RU"/>
        </w:rPr>
        <w:t>стойчивую систему</w:t>
      </w:r>
      <w:r w:rsidR="00A25DBE" w:rsidRPr="005F7836">
        <w:rPr>
          <w:rFonts w:cs="Arial"/>
          <w:lang w:val="ru-RU"/>
        </w:rPr>
        <w:t xml:space="preserve"> мобилизации</w:t>
      </w:r>
      <w:r w:rsidR="00BD296A" w:rsidRPr="005F7836">
        <w:rPr>
          <w:rFonts w:cs="Arial"/>
          <w:lang w:val="ru-RU"/>
        </w:rPr>
        <w:t xml:space="preserve"> ресурсов. На глобальном уровне</w:t>
      </w:r>
      <w:r w:rsidR="00A25DBE" w:rsidRPr="005F7836">
        <w:rPr>
          <w:rFonts w:cs="Arial"/>
          <w:lang w:val="ru-RU"/>
        </w:rPr>
        <w:t xml:space="preserve"> можно говорить об ограниченном доступе </w:t>
      </w:r>
      <w:r w:rsidR="00773535" w:rsidRPr="005F7836">
        <w:rPr>
          <w:rFonts w:cs="Arial"/>
          <w:lang w:val="ru-RU"/>
        </w:rPr>
        <w:t>к информации, которая необходима</w:t>
      </w:r>
      <w:r w:rsidR="00A25DBE" w:rsidRPr="005F7836">
        <w:rPr>
          <w:rFonts w:cs="Arial"/>
          <w:lang w:val="ru-RU"/>
        </w:rPr>
        <w:t xml:space="preserve"> для вы</w:t>
      </w:r>
      <w:r w:rsidR="00773535" w:rsidRPr="005F7836">
        <w:rPr>
          <w:rFonts w:cs="Arial"/>
          <w:lang w:val="ru-RU"/>
        </w:rPr>
        <w:t>явления возможностей роста (вне зависимости от того, в чем заключаются такие возможности –</w:t>
      </w:r>
      <w:r w:rsidR="00A25DBE" w:rsidRPr="005F7836">
        <w:rPr>
          <w:rFonts w:cs="Arial"/>
          <w:lang w:val="ru-RU"/>
        </w:rPr>
        <w:t xml:space="preserve"> в конк</w:t>
      </w:r>
      <w:r w:rsidR="00773535" w:rsidRPr="005F7836">
        <w:rPr>
          <w:rFonts w:cs="Arial"/>
          <w:lang w:val="ru-RU"/>
        </w:rPr>
        <w:t>р</w:t>
      </w:r>
      <w:r w:rsidR="00A25DBE" w:rsidRPr="005F7836">
        <w:rPr>
          <w:rFonts w:cs="Arial"/>
          <w:lang w:val="ru-RU"/>
        </w:rPr>
        <w:t>етных рынках, технологиях или продуктах) и</w:t>
      </w:r>
      <w:r w:rsidR="001F5D1F" w:rsidRPr="005F7836">
        <w:rPr>
          <w:rFonts w:cs="Arial"/>
          <w:lang w:val="ru-RU"/>
        </w:rPr>
        <w:t xml:space="preserve"> принятия соответствующих </w:t>
      </w:r>
      <w:r w:rsidR="00A25DBE" w:rsidRPr="005F7836">
        <w:rPr>
          <w:rFonts w:cs="Arial"/>
          <w:lang w:val="ru-RU"/>
        </w:rPr>
        <w:t xml:space="preserve"> </w:t>
      </w:r>
      <w:r w:rsidR="001F5D1F" w:rsidRPr="005F7836">
        <w:rPr>
          <w:rFonts w:cs="Arial"/>
          <w:lang w:val="ru-RU"/>
        </w:rPr>
        <w:t>решений</w:t>
      </w:r>
      <w:r w:rsidR="006534F5" w:rsidRPr="005F7836">
        <w:rPr>
          <w:rFonts w:cs="Arial"/>
          <w:lang w:val="ru-RU"/>
        </w:rPr>
        <w:t xml:space="preserve"> по </w:t>
      </w:r>
      <w:r w:rsidR="001F5D1F" w:rsidRPr="005F7836">
        <w:rPr>
          <w:rFonts w:cs="Arial"/>
          <w:lang w:val="ru-RU"/>
        </w:rPr>
        <w:t>стратегическому</w:t>
      </w:r>
      <w:r w:rsidR="006534F5" w:rsidRPr="005F7836">
        <w:rPr>
          <w:rFonts w:cs="Arial"/>
          <w:lang w:val="ru-RU"/>
        </w:rPr>
        <w:t xml:space="preserve"> инвестированию.</w:t>
      </w:r>
    </w:p>
    <w:p w14:paraId="4D1C0A9B" w14:textId="07C0DE78" w:rsidR="006534F5" w:rsidRPr="005F7836" w:rsidRDefault="006534F5" w:rsidP="00F02EAF">
      <w:pPr>
        <w:pStyle w:val="CoDNormal"/>
        <w:rPr>
          <w:rFonts w:cs="Arial"/>
          <w:lang w:val="ru-RU"/>
        </w:rPr>
      </w:pPr>
      <w:r w:rsidRPr="005F7836">
        <w:rPr>
          <w:rFonts w:cs="Arial"/>
          <w:lang w:val="ru-RU"/>
        </w:rPr>
        <w:t xml:space="preserve">Политика и практика </w:t>
      </w:r>
      <w:r w:rsidR="0099322E" w:rsidRPr="005F7836">
        <w:rPr>
          <w:rFonts w:cs="Arial"/>
          <w:lang w:val="ru-RU"/>
        </w:rPr>
        <w:t>работы других гуманитарных организаций и организаций, работающих в сфере развития, еще больше усиливает</w:t>
      </w:r>
      <w:r w:rsidRPr="005F7836">
        <w:rPr>
          <w:rFonts w:cs="Arial"/>
          <w:lang w:val="ru-RU"/>
        </w:rPr>
        <w:t xml:space="preserve"> желание</w:t>
      </w:r>
      <w:r w:rsidR="0099322E" w:rsidRPr="005F7836">
        <w:rPr>
          <w:rFonts w:cs="Arial"/>
          <w:lang w:val="ru-RU"/>
        </w:rPr>
        <w:t xml:space="preserve"> участников Движения объединить свои усилия и работать эффективнее</w:t>
      </w:r>
      <w:r w:rsidRPr="005F7836">
        <w:rPr>
          <w:rFonts w:cs="Arial"/>
          <w:lang w:val="ru-RU"/>
        </w:rPr>
        <w:t>. Растущая конкуренция в области привлечения средств в частом секторе – и особенно глобальный рост</w:t>
      </w:r>
      <w:r w:rsidR="0099322E" w:rsidRPr="005F7836">
        <w:rPr>
          <w:rFonts w:cs="Arial"/>
          <w:lang w:val="ru-RU"/>
        </w:rPr>
        <w:t xml:space="preserve"> масштабов</w:t>
      </w:r>
      <w:r w:rsidRPr="005F7836">
        <w:rPr>
          <w:rFonts w:cs="Arial"/>
          <w:lang w:val="ru-RU"/>
        </w:rPr>
        <w:t xml:space="preserve"> индивидуальных </w:t>
      </w:r>
      <w:r w:rsidR="0099322E" w:rsidRPr="005F7836">
        <w:rPr>
          <w:rFonts w:cs="Arial"/>
          <w:lang w:val="ru-RU"/>
        </w:rPr>
        <w:t>пожертвований в рамках</w:t>
      </w:r>
      <w:r w:rsidRPr="005F7836">
        <w:rPr>
          <w:rFonts w:cs="Arial"/>
          <w:lang w:val="ru-RU"/>
        </w:rPr>
        <w:t xml:space="preserve"> </w:t>
      </w:r>
      <w:r w:rsidR="0099322E" w:rsidRPr="005F7836">
        <w:rPr>
          <w:rFonts w:cs="Arial"/>
          <w:lang w:val="ru-RU"/>
        </w:rPr>
        <w:t>стратегических</w:t>
      </w:r>
      <w:r w:rsidRPr="005F7836">
        <w:rPr>
          <w:rFonts w:cs="Arial"/>
          <w:lang w:val="ru-RU"/>
        </w:rPr>
        <w:t xml:space="preserve"> </w:t>
      </w:r>
      <w:r w:rsidR="0099322E" w:rsidRPr="005F7836">
        <w:rPr>
          <w:rFonts w:cs="Arial"/>
          <w:lang w:val="ru-RU"/>
        </w:rPr>
        <w:t>инвестиций</w:t>
      </w:r>
      <w:r w:rsidRPr="005F7836">
        <w:rPr>
          <w:rFonts w:cs="Arial"/>
          <w:lang w:val="ru-RU"/>
        </w:rPr>
        <w:t xml:space="preserve"> и высокоуровневой координации </w:t>
      </w:r>
      <w:r w:rsidR="0099322E" w:rsidRPr="005F7836">
        <w:rPr>
          <w:rFonts w:cs="Arial"/>
          <w:lang w:val="ru-RU"/>
        </w:rPr>
        <w:t>усилий по привлечению средств на профессиональной основе</w:t>
      </w:r>
      <w:r w:rsidRPr="005F7836">
        <w:rPr>
          <w:rFonts w:cs="Arial"/>
          <w:lang w:val="ru-RU"/>
        </w:rPr>
        <w:t xml:space="preserve"> среди подразделений ООН и международных неправительственных организаций –</w:t>
      </w:r>
      <w:r w:rsidR="00731D7B" w:rsidRPr="005F7836">
        <w:rPr>
          <w:rFonts w:cs="Arial"/>
          <w:lang w:val="ru-RU"/>
        </w:rPr>
        <w:t xml:space="preserve"> осложняет задачу позиционирования национальных обществ в </w:t>
      </w:r>
      <w:r w:rsidRPr="005F7836">
        <w:rPr>
          <w:rFonts w:cs="Arial"/>
          <w:lang w:val="ru-RU"/>
        </w:rPr>
        <w:t>рамках</w:t>
      </w:r>
      <w:r w:rsidR="00731D7B" w:rsidRPr="005F7836">
        <w:rPr>
          <w:rFonts w:cs="Arial"/>
          <w:lang w:val="ru-RU"/>
        </w:rPr>
        <w:t xml:space="preserve"> их взаимо</w:t>
      </w:r>
      <w:r w:rsidRPr="005F7836">
        <w:rPr>
          <w:rFonts w:cs="Arial"/>
          <w:lang w:val="ru-RU"/>
        </w:rPr>
        <w:t xml:space="preserve">отношений с донорами. </w:t>
      </w:r>
      <w:r w:rsidR="00263142" w:rsidRPr="005F7836">
        <w:rPr>
          <w:rFonts w:cs="Arial"/>
          <w:lang w:val="ru-RU"/>
        </w:rPr>
        <w:t xml:space="preserve">Большая </w:t>
      </w:r>
      <w:r w:rsidR="00731D7B" w:rsidRPr="005F7836">
        <w:rPr>
          <w:rFonts w:cs="Arial"/>
          <w:lang w:val="ru-RU"/>
        </w:rPr>
        <w:t>сделка</w:t>
      </w:r>
      <w:r w:rsidR="00263142" w:rsidRPr="005F7836">
        <w:rPr>
          <w:rFonts w:cs="Arial"/>
          <w:lang w:val="ru-RU"/>
        </w:rPr>
        <w:t xml:space="preserve"> обязывает </w:t>
      </w:r>
      <w:r w:rsidR="00731D7B" w:rsidRPr="005F7836">
        <w:rPr>
          <w:rFonts w:cs="Arial"/>
          <w:lang w:val="ru-RU"/>
        </w:rPr>
        <w:t xml:space="preserve">финансовых </w:t>
      </w:r>
      <w:r w:rsidR="00263142" w:rsidRPr="005F7836">
        <w:rPr>
          <w:rFonts w:cs="Arial"/>
          <w:lang w:val="ru-RU"/>
        </w:rPr>
        <w:t xml:space="preserve">доноров и </w:t>
      </w:r>
      <w:r w:rsidR="00731D7B" w:rsidRPr="005F7836">
        <w:rPr>
          <w:rFonts w:cs="Arial"/>
          <w:lang w:val="ru-RU"/>
        </w:rPr>
        <w:t>гуманитарные</w:t>
      </w:r>
      <w:r w:rsidR="00263142" w:rsidRPr="005F7836">
        <w:rPr>
          <w:rFonts w:cs="Arial"/>
          <w:lang w:val="ru-RU"/>
        </w:rPr>
        <w:t xml:space="preserve"> </w:t>
      </w:r>
      <w:r w:rsidR="00731D7B" w:rsidRPr="005F7836">
        <w:rPr>
          <w:rFonts w:cs="Arial"/>
          <w:lang w:val="ru-RU"/>
        </w:rPr>
        <w:t>организации</w:t>
      </w:r>
      <w:r w:rsidR="0020732D" w:rsidRPr="005F7836">
        <w:rPr>
          <w:rFonts w:cs="Arial"/>
          <w:lang w:val="ru-RU"/>
        </w:rPr>
        <w:t xml:space="preserve"> внести ряд изменений  в свои</w:t>
      </w:r>
      <w:r w:rsidR="00731D7B" w:rsidRPr="005F7836">
        <w:rPr>
          <w:rFonts w:cs="Arial"/>
          <w:lang w:val="ru-RU"/>
        </w:rPr>
        <w:t xml:space="preserve"> рабочие процедуры в целях повышения эффективности</w:t>
      </w:r>
      <w:r w:rsidR="0020732D" w:rsidRPr="005F7836">
        <w:rPr>
          <w:rFonts w:cs="Arial"/>
          <w:lang w:val="ru-RU"/>
        </w:rPr>
        <w:t xml:space="preserve"> деятельности</w:t>
      </w:r>
      <w:r w:rsidR="00263142" w:rsidRPr="005F7836">
        <w:rPr>
          <w:rFonts w:cs="Arial"/>
          <w:lang w:val="ru-RU"/>
        </w:rPr>
        <w:t xml:space="preserve">.  </w:t>
      </w:r>
      <w:r w:rsidR="00731D7B" w:rsidRPr="005F7836">
        <w:rPr>
          <w:rFonts w:cs="Arial"/>
          <w:lang w:val="ru-RU"/>
        </w:rPr>
        <w:t>Это, в том числе, подразумевает обяза</w:t>
      </w:r>
      <w:r w:rsidR="00751E23" w:rsidRPr="005F7836">
        <w:rPr>
          <w:rFonts w:cs="Arial"/>
          <w:lang w:val="ru-RU"/>
        </w:rPr>
        <w:t>т</w:t>
      </w:r>
      <w:r w:rsidR="00731D7B" w:rsidRPr="005F7836">
        <w:rPr>
          <w:rFonts w:cs="Arial"/>
          <w:lang w:val="ru-RU"/>
        </w:rPr>
        <w:t>ел</w:t>
      </w:r>
      <w:r w:rsidR="00751E23" w:rsidRPr="005F7836">
        <w:rPr>
          <w:rFonts w:cs="Arial"/>
          <w:lang w:val="ru-RU"/>
        </w:rPr>
        <w:t xml:space="preserve">ьство обеспечить больший </w:t>
      </w:r>
      <w:r w:rsidR="00731D7B" w:rsidRPr="005F7836">
        <w:rPr>
          <w:rFonts w:cs="Arial"/>
          <w:lang w:val="ru-RU"/>
        </w:rPr>
        <w:t>объем</w:t>
      </w:r>
      <w:r w:rsidR="00751E23" w:rsidRPr="005F7836">
        <w:rPr>
          <w:rFonts w:cs="Arial"/>
          <w:lang w:val="ru-RU"/>
        </w:rPr>
        <w:t xml:space="preserve"> финансирования для </w:t>
      </w:r>
      <w:r w:rsidR="00731D7B" w:rsidRPr="005F7836">
        <w:rPr>
          <w:rFonts w:cs="Arial"/>
          <w:lang w:val="ru-RU"/>
        </w:rPr>
        <w:t>национальных</w:t>
      </w:r>
      <w:r w:rsidR="00751E23" w:rsidRPr="005F7836">
        <w:rPr>
          <w:rFonts w:cs="Arial"/>
          <w:lang w:val="ru-RU"/>
        </w:rPr>
        <w:t xml:space="preserve"> и местных </w:t>
      </w:r>
      <w:r w:rsidR="00731D7B" w:rsidRPr="005F7836">
        <w:rPr>
          <w:rFonts w:cs="Arial"/>
          <w:lang w:val="ru-RU"/>
        </w:rPr>
        <w:t>гуманитарных организаций.  Работая</w:t>
      </w:r>
      <w:r w:rsidR="00751E23" w:rsidRPr="005F7836">
        <w:rPr>
          <w:rFonts w:cs="Arial"/>
          <w:lang w:val="ru-RU"/>
        </w:rPr>
        <w:t xml:space="preserve"> на уровне сообществ в 190 странах мира, Д</w:t>
      </w:r>
      <w:r w:rsidR="000A6846" w:rsidRPr="005F7836">
        <w:rPr>
          <w:rFonts w:cs="Arial"/>
          <w:lang w:val="ru-RU"/>
        </w:rPr>
        <w:t xml:space="preserve">вижения является крупнейшей </w:t>
      </w:r>
      <w:r w:rsidR="00731D7B" w:rsidRPr="005F7836">
        <w:rPr>
          <w:rFonts w:cs="Arial"/>
          <w:lang w:val="ru-RU"/>
        </w:rPr>
        <w:t xml:space="preserve">сетью </w:t>
      </w:r>
      <w:r w:rsidR="000A6846" w:rsidRPr="005F7836">
        <w:rPr>
          <w:rFonts w:cs="Arial"/>
          <w:lang w:val="ru-RU"/>
        </w:rPr>
        <w:t>гум</w:t>
      </w:r>
      <w:r w:rsidR="00751E23" w:rsidRPr="005F7836">
        <w:rPr>
          <w:rFonts w:cs="Arial"/>
          <w:lang w:val="ru-RU"/>
        </w:rPr>
        <w:t>а</w:t>
      </w:r>
      <w:r w:rsidR="000A6846" w:rsidRPr="005F7836">
        <w:rPr>
          <w:rFonts w:cs="Arial"/>
          <w:lang w:val="ru-RU"/>
        </w:rPr>
        <w:t>н</w:t>
      </w:r>
      <w:r w:rsidR="00731D7B" w:rsidRPr="005F7836">
        <w:rPr>
          <w:rFonts w:cs="Arial"/>
          <w:lang w:val="ru-RU"/>
        </w:rPr>
        <w:t xml:space="preserve">итарных организаций </w:t>
      </w:r>
      <w:r w:rsidR="0024357E" w:rsidRPr="005F7836">
        <w:rPr>
          <w:rFonts w:cs="Arial"/>
          <w:lang w:val="ru-RU"/>
        </w:rPr>
        <w:t>в мире. Благодаря этому, мы располагаем национальным</w:t>
      </w:r>
      <w:r w:rsidR="000A6846" w:rsidRPr="005F7836">
        <w:rPr>
          <w:rFonts w:cs="Arial"/>
          <w:lang w:val="ru-RU"/>
        </w:rPr>
        <w:t xml:space="preserve"> и </w:t>
      </w:r>
      <w:r w:rsidR="0024357E" w:rsidRPr="005F7836">
        <w:rPr>
          <w:rFonts w:cs="Arial"/>
          <w:lang w:val="ru-RU"/>
        </w:rPr>
        <w:t>местным</w:t>
      </w:r>
      <w:r w:rsidR="000A6846" w:rsidRPr="005F7836">
        <w:rPr>
          <w:rFonts w:cs="Arial"/>
          <w:lang w:val="ru-RU"/>
        </w:rPr>
        <w:t xml:space="preserve"> потенциал</w:t>
      </w:r>
      <w:r w:rsidR="0024357E" w:rsidRPr="005F7836">
        <w:rPr>
          <w:rFonts w:cs="Arial"/>
          <w:lang w:val="ru-RU"/>
        </w:rPr>
        <w:t>ом для выполнен</w:t>
      </w:r>
      <w:r w:rsidR="000A6846" w:rsidRPr="005F7836">
        <w:rPr>
          <w:rFonts w:cs="Arial"/>
          <w:lang w:val="ru-RU"/>
        </w:rPr>
        <w:t>ия этого обязательства. Бол</w:t>
      </w:r>
      <w:r w:rsidR="0020732D" w:rsidRPr="005F7836">
        <w:rPr>
          <w:rFonts w:cs="Arial"/>
          <w:lang w:val="ru-RU"/>
        </w:rPr>
        <w:t>е</w:t>
      </w:r>
      <w:r w:rsidR="000A6846" w:rsidRPr="005F7836">
        <w:rPr>
          <w:rFonts w:cs="Arial"/>
          <w:lang w:val="ru-RU"/>
        </w:rPr>
        <w:t xml:space="preserve">е того, нам </w:t>
      </w:r>
      <w:r w:rsidR="00304721" w:rsidRPr="005F7836">
        <w:rPr>
          <w:rFonts w:cs="Arial"/>
          <w:lang w:val="ru-RU"/>
        </w:rPr>
        <w:t xml:space="preserve">необходимы сильные национальные общества, которые могли бы устойчиво обеспечивать </w:t>
      </w:r>
      <w:r w:rsidR="0057189B" w:rsidRPr="005F7836">
        <w:rPr>
          <w:rFonts w:cs="Arial"/>
          <w:lang w:val="ru-RU"/>
        </w:rPr>
        <w:t xml:space="preserve">финансирование и </w:t>
      </w:r>
      <w:r w:rsidR="00304721" w:rsidRPr="005F7836">
        <w:rPr>
          <w:rFonts w:cs="Arial"/>
          <w:lang w:val="ru-RU"/>
        </w:rPr>
        <w:t>мобилизовывать</w:t>
      </w:r>
      <w:r w:rsidR="0057189B" w:rsidRPr="005F7836">
        <w:rPr>
          <w:rFonts w:cs="Arial"/>
          <w:lang w:val="ru-RU"/>
        </w:rPr>
        <w:t xml:space="preserve"> ресу</w:t>
      </w:r>
      <w:r w:rsidR="00304721" w:rsidRPr="005F7836">
        <w:rPr>
          <w:rFonts w:cs="Arial"/>
          <w:lang w:val="ru-RU"/>
        </w:rPr>
        <w:t xml:space="preserve">рсы, </w:t>
      </w:r>
      <w:r w:rsidR="0057189B" w:rsidRPr="005F7836">
        <w:rPr>
          <w:rFonts w:cs="Arial"/>
          <w:lang w:val="ru-RU"/>
        </w:rPr>
        <w:t>ч</w:t>
      </w:r>
      <w:r w:rsidR="00304721" w:rsidRPr="005F7836">
        <w:rPr>
          <w:rFonts w:cs="Arial"/>
          <w:lang w:val="ru-RU"/>
        </w:rPr>
        <w:t>тобы Движение, в целом, и его отдельные участники могли продолжить выполнение своей гуманитарной миссии</w:t>
      </w:r>
      <w:r w:rsidR="0057189B" w:rsidRPr="005F7836">
        <w:rPr>
          <w:rFonts w:cs="Arial"/>
          <w:lang w:val="ru-RU"/>
        </w:rPr>
        <w:t xml:space="preserve"> в будущем. </w:t>
      </w:r>
    </w:p>
    <w:p w14:paraId="45A65939" w14:textId="389F72BA" w:rsidR="0057189B" w:rsidRPr="005F7836" w:rsidRDefault="000D376B" w:rsidP="00F02EAF">
      <w:pPr>
        <w:pStyle w:val="CoDNormal"/>
        <w:rPr>
          <w:rFonts w:cs="Arial"/>
          <w:lang w:val="ru-RU"/>
        </w:rPr>
      </w:pPr>
      <w:r w:rsidRPr="005F7836">
        <w:rPr>
          <w:rFonts w:cs="Arial"/>
          <w:lang w:val="ru-RU"/>
        </w:rPr>
        <w:t xml:space="preserve">Данный отчет содержит информацию о </w:t>
      </w:r>
      <w:r w:rsidR="002B075E" w:rsidRPr="005F7836">
        <w:rPr>
          <w:rFonts w:cs="Arial"/>
          <w:lang w:val="ru-RU"/>
        </w:rPr>
        <w:t xml:space="preserve">проведенных </w:t>
      </w:r>
      <w:r w:rsidRPr="005F7836">
        <w:rPr>
          <w:rFonts w:cs="Arial"/>
          <w:lang w:val="ru-RU"/>
        </w:rPr>
        <w:t>консультациях и</w:t>
      </w:r>
      <w:r w:rsidR="0057189B" w:rsidRPr="005F7836">
        <w:rPr>
          <w:rFonts w:cs="Arial"/>
          <w:lang w:val="ru-RU"/>
        </w:rPr>
        <w:t xml:space="preserve"> </w:t>
      </w:r>
      <w:r w:rsidR="002B075E" w:rsidRPr="005F7836">
        <w:rPr>
          <w:rFonts w:cs="Arial"/>
          <w:lang w:val="ru-RU"/>
        </w:rPr>
        <w:t xml:space="preserve">других </w:t>
      </w:r>
      <w:r w:rsidR="0057189B" w:rsidRPr="005F7836">
        <w:rPr>
          <w:rFonts w:cs="Arial"/>
          <w:lang w:val="ru-RU"/>
        </w:rPr>
        <w:t xml:space="preserve">видах деятельности, которые были </w:t>
      </w:r>
      <w:r w:rsidRPr="005F7836">
        <w:rPr>
          <w:rFonts w:cs="Arial"/>
          <w:lang w:val="ru-RU"/>
        </w:rPr>
        <w:t>осуществлены</w:t>
      </w:r>
      <w:r w:rsidR="0057189B" w:rsidRPr="005F7836">
        <w:rPr>
          <w:rFonts w:cs="Arial"/>
          <w:lang w:val="ru-RU"/>
        </w:rPr>
        <w:t>, за почти двухлетний период между принятием Советом дел</w:t>
      </w:r>
      <w:r w:rsidR="002B075E" w:rsidRPr="005F7836">
        <w:rPr>
          <w:rFonts w:cs="Arial"/>
          <w:lang w:val="ru-RU"/>
        </w:rPr>
        <w:t>егатов Резолюции 2 (CD/15/R2), утверждающей логотип</w:t>
      </w:r>
      <w:r w:rsidR="0057189B" w:rsidRPr="005F7836">
        <w:rPr>
          <w:rFonts w:cs="Arial"/>
          <w:lang w:val="ru-RU"/>
        </w:rPr>
        <w:t xml:space="preserve"> </w:t>
      </w:r>
      <w:r w:rsidR="0057189B" w:rsidRPr="005F7836">
        <w:rPr>
          <w:rFonts w:cs="Arial"/>
          <w:lang w:val="ru-RU"/>
        </w:rPr>
        <w:lastRenderedPageBreak/>
        <w:t>Дв</w:t>
      </w:r>
      <w:r w:rsidR="002B075E" w:rsidRPr="005F7836">
        <w:rPr>
          <w:rFonts w:cs="Arial"/>
          <w:lang w:val="ru-RU"/>
        </w:rPr>
        <w:t>и</w:t>
      </w:r>
      <w:r w:rsidR="0057189B" w:rsidRPr="005F7836">
        <w:rPr>
          <w:rFonts w:cs="Arial"/>
          <w:lang w:val="ru-RU"/>
        </w:rPr>
        <w:t>жения</w:t>
      </w:r>
      <w:r w:rsidR="002B075E" w:rsidRPr="005F7836">
        <w:rPr>
          <w:rFonts w:cs="Arial"/>
          <w:lang w:val="ru-RU"/>
        </w:rPr>
        <w:t>,</w:t>
      </w:r>
      <w:r w:rsidR="0057189B" w:rsidRPr="005F7836">
        <w:rPr>
          <w:rFonts w:cs="Arial"/>
          <w:lang w:val="ru-RU"/>
        </w:rPr>
        <w:t xml:space="preserve"> в д</w:t>
      </w:r>
      <w:r w:rsidR="002B075E" w:rsidRPr="005F7836">
        <w:rPr>
          <w:rFonts w:cs="Arial"/>
          <w:lang w:val="ru-RU"/>
        </w:rPr>
        <w:t>екабре 2015 года и презентацией</w:t>
      </w:r>
      <w:r w:rsidR="0057189B" w:rsidRPr="005F7836">
        <w:rPr>
          <w:rFonts w:cs="Arial"/>
          <w:lang w:val="ru-RU"/>
        </w:rPr>
        <w:t xml:space="preserve"> принципо</w:t>
      </w:r>
      <w:r w:rsidR="00AA1EC4" w:rsidRPr="005F7836">
        <w:rPr>
          <w:rFonts w:cs="Arial"/>
          <w:lang w:val="ru-RU"/>
        </w:rPr>
        <w:t>в мобилизации ресурсов для всех участников</w:t>
      </w:r>
      <w:r w:rsidR="0057189B" w:rsidRPr="005F7836">
        <w:rPr>
          <w:rFonts w:cs="Arial"/>
          <w:lang w:val="ru-RU"/>
        </w:rPr>
        <w:t xml:space="preserve"> </w:t>
      </w:r>
      <w:r w:rsidR="002B075E" w:rsidRPr="005F7836">
        <w:rPr>
          <w:rFonts w:cs="Arial"/>
          <w:lang w:val="ru-RU"/>
        </w:rPr>
        <w:t>Движения</w:t>
      </w:r>
      <w:r w:rsidR="0057189B" w:rsidRPr="005F7836">
        <w:rPr>
          <w:rFonts w:cs="Arial"/>
          <w:lang w:val="ru-RU"/>
        </w:rPr>
        <w:t xml:space="preserve"> на Совете делегатов в 2017 году. </w:t>
      </w:r>
    </w:p>
    <w:p w14:paraId="36F52245" w14:textId="733F8DEF" w:rsidR="000D6658" w:rsidRPr="005F7836" w:rsidRDefault="00AA09EC" w:rsidP="00F02EAF">
      <w:pPr>
        <w:pStyle w:val="CoDHeading1"/>
        <w:numPr>
          <w:ilvl w:val="0"/>
          <w:numId w:val="23"/>
        </w:numPr>
        <w:rPr>
          <w:rFonts w:cs="Arial"/>
          <w:sz w:val="22"/>
          <w:lang w:val="ru-RU"/>
        </w:rPr>
      </w:pPr>
      <w:r w:rsidRPr="005F7836">
        <w:rPr>
          <w:rFonts w:cs="Arial"/>
          <w:sz w:val="22"/>
          <w:lang w:val="ru-RU"/>
        </w:rPr>
        <w:t>СПРАВОЧНАЯ ИНФОРМАЦИЯ</w:t>
      </w:r>
      <w:r w:rsidR="000D6658" w:rsidRPr="005F7836">
        <w:rPr>
          <w:rFonts w:cs="Arial"/>
          <w:sz w:val="22"/>
          <w:lang w:val="ru-RU"/>
        </w:rPr>
        <w:t xml:space="preserve">: </w:t>
      </w:r>
      <w:r w:rsidRPr="005F7836">
        <w:rPr>
          <w:rFonts w:cs="Arial"/>
          <w:sz w:val="22"/>
          <w:lang w:val="ru-RU"/>
        </w:rPr>
        <w:t>ОТ ПРИНЯТИЯ ЛОГОТИПА ДВИЖЕНИЯ</w:t>
      </w:r>
      <w:r w:rsidR="00C344E5" w:rsidRPr="005F7836">
        <w:rPr>
          <w:rFonts w:cs="Arial"/>
          <w:sz w:val="22"/>
          <w:lang w:val="ru-RU"/>
        </w:rPr>
        <w:t xml:space="preserve"> К ПРИНЦИПАМ МОБИЛИЗАЦИИ РЕСУРС</w:t>
      </w:r>
      <w:r w:rsidRPr="005F7836">
        <w:rPr>
          <w:rFonts w:cs="Arial"/>
          <w:sz w:val="22"/>
          <w:lang w:val="ru-RU"/>
        </w:rPr>
        <w:t xml:space="preserve">ОВ ДЛЯ ВСЕХ УЧАСТНИКОВ ДВИЖЕНИЯ </w:t>
      </w:r>
    </w:p>
    <w:p w14:paraId="627BB5E2" w14:textId="6E9D3A26" w:rsidR="0088557B" w:rsidRPr="005F7836" w:rsidRDefault="006E6093" w:rsidP="00F02EAF">
      <w:pPr>
        <w:pStyle w:val="CoDNormal"/>
        <w:rPr>
          <w:rFonts w:cs="Arial"/>
          <w:lang w:val="ru-RU"/>
        </w:rPr>
      </w:pPr>
      <w:bookmarkStart w:id="0" w:name="_MailOriginal"/>
      <w:r w:rsidRPr="005F7836">
        <w:rPr>
          <w:rFonts w:cs="Arial"/>
          <w:lang w:val="ru-RU"/>
        </w:rPr>
        <w:t>Проблемы</w:t>
      </w:r>
      <w:r w:rsidR="00AA09EC" w:rsidRPr="005F7836">
        <w:rPr>
          <w:rFonts w:cs="Arial"/>
          <w:lang w:val="ru-RU"/>
        </w:rPr>
        <w:t xml:space="preserve">, с которыми сталкиваются участники Движения в области </w:t>
      </w:r>
      <w:r w:rsidRPr="005F7836">
        <w:rPr>
          <w:rFonts w:cs="Arial"/>
          <w:lang w:val="ru-RU"/>
        </w:rPr>
        <w:t>мобилизации</w:t>
      </w:r>
      <w:r w:rsidR="00AA09EC" w:rsidRPr="005F7836">
        <w:rPr>
          <w:rFonts w:cs="Arial"/>
          <w:lang w:val="ru-RU"/>
        </w:rPr>
        <w:t xml:space="preserve"> ресурсов, а также шаги, предпринятые для их решения, были впервые </w:t>
      </w:r>
      <w:r w:rsidRPr="005F7836">
        <w:rPr>
          <w:rFonts w:cs="Arial"/>
          <w:lang w:val="ru-RU"/>
        </w:rPr>
        <w:t>рассмотрены</w:t>
      </w:r>
      <w:r w:rsidR="00AA09EC" w:rsidRPr="005F7836">
        <w:rPr>
          <w:rFonts w:cs="Arial"/>
          <w:lang w:val="ru-RU"/>
        </w:rPr>
        <w:t xml:space="preserve"> в </w:t>
      </w:r>
      <w:r w:rsidRPr="005F7836">
        <w:rPr>
          <w:rFonts w:cs="Arial"/>
          <w:lang w:val="ru-RU"/>
        </w:rPr>
        <w:t>рамках</w:t>
      </w:r>
      <w:r w:rsidR="00AA09EC" w:rsidRPr="005F7836">
        <w:rPr>
          <w:rFonts w:cs="Arial"/>
          <w:lang w:val="ru-RU"/>
        </w:rPr>
        <w:t xml:space="preserve"> общефедеративной стратегии по </w:t>
      </w:r>
      <w:r w:rsidRPr="005F7836">
        <w:rPr>
          <w:rFonts w:cs="Arial"/>
          <w:lang w:val="ru-RU"/>
        </w:rPr>
        <w:t>мобилизации</w:t>
      </w:r>
      <w:r w:rsidR="00AA09EC" w:rsidRPr="005F7836">
        <w:rPr>
          <w:rFonts w:cs="Arial"/>
          <w:lang w:val="ru-RU"/>
        </w:rPr>
        <w:t xml:space="preserve"> </w:t>
      </w:r>
      <w:r w:rsidRPr="005F7836">
        <w:rPr>
          <w:rFonts w:cs="Arial"/>
          <w:lang w:val="ru-RU"/>
        </w:rPr>
        <w:t>ресурсов</w:t>
      </w:r>
      <w:r w:rsidR="00AA09EC" w:rsidRPr="005F7836">
        <w:rPr>
          <w:rFonts w:cs="Arial"/>
          <w:lang w:val="ru-RU"/>
        </w:rPr>
        <w:t>, которая была одобрена Правлением МФОККиКП в 2011 году. Стратегия МФОККиКП предписывала:</w:t>
      </w:r>
    </w:p>
    <w:p w14:paraId="1EA7F51F" w14:textId="26464967" w:rsidR="0088557B" w:rsidRPr="005F7836" w:rsidRDefault="00AA09EC" w:rsidP="00F02EAF">
      <w:pPr>
        <w:pStyle w:val="CoDBullet"/>
        <w:rPr>
          <w:rFonts w:cs="Arial"/>
          <w:lang w:val="ru-RU"/>
        </w:rPr>
      </w:pPr>
      <w:r w:rsidRPr="005F7836">
        <w:rPr>
          <w:rFonts w:cs="Arial"/>
          <w:lang w:val="ru-RU"/>
        </w:rPr>
        <w:t xml:space="preserve">Сохранить </w:t>
      </w:r>
      <w:r w:rsidR="006E6093" w:rsidRPr="005F7836">
        <w:rPr>
          <w:rFonts w:cs="Arial"/>
          <w:lang w:val="ru-RU"/>
        </w:rPr>
        <w:t>лидерство</w:t>
      </w:r>
      <w:r w:rsidRPr="005F7836">
        <w:rPr>
          <w:rFonts w:cs="Arial"/>
          <w:lang w:val="ru-RU"/>
        </w:rPr>
        <w:t xml:space="preserve"> в области мобилизации </w:t>
      </w:r>
      <w:r w:rsidR="006E6093" w:rsidRPr="005F7836">
        <w:rPr>
          <w:rFonts w:cs="Arial"/>
          <w:lang w:val="ru-RU"/>
        </w:rPr>
        <w:t>ресурсов для ликвидации последствий чрезвычайных ситуаций</w:t>
      </w:r>
      <w:r w:rsidR="00C62E12" w:rsidRPr="005F7836">
        <w:rPr>
          <w:rFonts w:cs="Arial"/>
          <w:lang w:val="ru-RU"/>
        </w:rPr>
        <w:t>;</w:t>
      </w:r>
    </w:p>
    <w:p w14:paraId="2C7357CA" w14:textId="083C9F24" w:rsidR="0088557B" w:rsidRPr="005F7836" w:rsidRDefault="00AA09EC" w:rsidP="00F02EAF">
      <w:pPr>
        <w:pStyle w:val="CoDBullet"/>
        <w:rPr>
          <w:rFonts w:cs="Arial"/>
          <w:lang w:val="ru-RU"/>
        </w:rPr>
      </w:pPr>
      <w:r w:rsidRPr="005F7836">
        <w:rPr>
          <w:rFonts w:cs="Arial"/>
          <w:lang w:val="ru-RU"/>
        </w:rPr>
        <w:t>Увеличить</w:t>
      </w:r>
      <w:r w:rsidR="006E6093" w:rsidRPr="005F7836">
        <w:rPr>
          <w:rFonts w:cs="Arial"/>
          <w:lang w:val="ru-RU"/>
        </w:rPr>
        <w:t xml:space="preserve"> объем не-экстренных доходов</w:t>
      </w:r>
      <w:r w:rsidRPr="005F7836">
        <w:rPr>
          <w:rFonts w:cs="Arial"/>
          <w:lang w:val="ru-RU"/>
        </w:rPr>
        <w:t xml:space="preserve"> для</w:t>
      </w:r>
      <w:r w:rsidR="006E6093" w:rsidRPr="005F7836">
        <w:rPr>
          <w:rFonts w:cs="Arial"/>
          <w:lang w:val="ru-RU"/>
        </w:rPr>
        <w:t xml:space="preserve"> осуществления деятельности на международном уровне и на местах</w:t>
      </w:r>
      <w:r w:rsidR="00C62E12" w:rsidRPr="005F7836">
        <w:rPr>
          <w:rFonts w:cs="Arial"/>
          <w:lang w:val="ru-RU"/>
        </w:rPr>
        <w:t>;</w:t>
      </w:r>
    </w:p>
    <w:p w14:paraId="5FFBBCB1" w14:textId="28050A77" w:rsidR="0088557B" w:rsidRPr="005F7836" w:rsidRDefault="006E6093" w:rsidP="00F02EAF">
      <w:pPr>
        <w:pStyle w:val="CoDBullet"/>
        <w:rPr>
          <w:rFonts w:cs="Arial"/>
          <w:lang w:val="ru-RU"/>
        </w:rPr>
      </w:pPr>
      <w:r w:rsidRPr="005F7836">
        <w:rPr>
          <w:rFonts w:cs="Arial"/>
          <w:lang w:val="ru-RU"/>
        </w:rPr>
        <w:t>Повысить потенциал национальных обществ в области</w:t>
      </w:r>
      <w:r w:rsidR="00AA09EC" w:rsidRPr="005F7836">
        <w:rPr>
          <w:rFonts w:cs="Arial"/>
          <w:lang w:val="ru-RU"/>
        </w:rPr>
        <w:t xml:space="preserve"> мобилизации ресурсов</w:t>
      </w:r>
      <w:r w:rsidR="0088557B" w:rsidRPr="005F7836">
        <w:rPr>
          <w:rFonts w:cs="Arial"/>
          <w:lang w:val="ru-RU"/>
        </w:rPr>
        <w:t>.</w:t>
      </w:r>
    </w:p>
    <w:p w14:paraId="2AC8B0E4" w14:textId="312F372E" w:rsidR="003D610B" w:rsidRPr="005F7836" w:rsidRDefault="006E6093" w:rsidP="00F02EAF">
      <w:pPr>
        <w:pStyle w:val="CoDNormal"/>
        <w:rPr>
          <w:rFonts w:cs="Arial"/>
          <w:lang w:val="ru-RU"/>
        </w:rPr>
      </w:pPr>
      <w:r w:rsidRPr="005F7836">
        <w:rPr>
          <w:rFonts w:cs="Arial"/>
          <w:lang w:val="ru-RU"/>
        </w:rPr>
        <w:t>Усилия по реализации</w:t>
      </w:r>
      <w:r w:rsidR="003D610B" w:rsidRPr="005F7836">
        <w:rPr>
          <w:rFonts w:cs="Arial"/>
          <w:lang w:val="ru-RU"/>
        </w:rPr>
        <w:t xml:space="preserve"> да</w:t>
      </w:r>
      <w:r w:rsidRPr="005F7836">
        <w:rPr>
          <w:rFonts w:cs="Arial"/>
          <w:lang w:val="ru-RU"/>
        </w:rPr>
        <w:t>н</w:t>
      </w:r>
      <w:r w:rsidR="003D610B" w:rsidRPr="005F7836">
        <w:rPr>
          <w:rFonts w:cs="Arial"/>
          <w:lang w:val="ru-RU"/>
        </w:rPr>
        <w:t>ной стратегии продо</w:t>
      </w:r>
      <w:r w:rsidRPr="005F7836">
        <w:rPr>
          <w:rFonts w:cs="Arial"/>
          <w:lang w:val="ru-RU"/>
        </w:rPr>
        <w:t>лжаются. В целях максимально эффективного использования результатов, достигнутых в рамках осуществления стратегии МФОККиКП</w:t>
      </w:r>
      <w:r w:rsidR="003D610B" w:rsidRPr="005F7836">
        <w:rPr>
          <w:rFonts w:cs="Arial"/>
          <w:lang w:val="ru-RU"/>
        </w:rPr>
        <w:t xml:space="preserve"> п</w:t>
      </w:r>
      <w:r w:rsidRPr="005F7836">
        <w:rPr>
          <w:rFonts w:cs="Arial"/>
          <w:lang w:val="ru-RU"/>
        </w:rPr>
        <w:t>о мобилизации ресурсов, и привлечения к работе всех уча</w:t>
      </w:r>
      <w:r w:rsidR="003D610B" w:rsidRPr="005F7836">
        <w:rPr>
          <w:rFonts w:cs="Arial"/>
          <w:lang w:val="ru-RU"/>
        </w:rPr>
        <w:t>с</w:t>
      </w:r>
      <w:r w:rsidRPr="005F7836">
        <w:rPr>
          <w:rFonts w:cs="Arial"/>
          <w:lang w:val="ru-RU"/>
        </w:rPr>
        <w:t>т</w:t>
      </w:r>
      <w:r w:rsidR="003D610B" w:rsidRPr="005F7836">
        <w:rPr>
          <w:rFonts w:cs="Arial"/>
          <w:lang w:val="ru-RU"/>
        </w:rPr>
        <w:t xml:space="preserve">ников </w:t>
      </w:r>
      <w:r w:rsidRPr="005F7836">
        <w:rPr>
          <w:rFonts w:cs="Arial"/>
          <w:lang w:val="ru-RU"/>
        </w:rPr>
        <w:t>Движения</w:t>
      </w:r>
      <w:r w:rsidR="003D610B" w:rsidRPr="005F7836">
        <w:rPr>
          <w:rFonts w:cs="Arial"/>
          <w:lang w:val="ru-RU"/>
        </w:rPr>
        <w:t xml:space="preserve">, </w:t>
      </w:r>
      <w:r w:rsidRPr="005F7836">
        <w:rPr>
          <w:rFonts w:cs="Arial"/>
          <w:lang w:val="ru-RU"/>
        </w:rPr>
        <w:t>начался</w:t>
      </w:r>
      <w:r w:rsidR="003D610B" w:rsidRPr="005F7836">
        <w:rPr>
          <w:rFonts w:cs="Arial"/>
          <w:lang w:val="ru-RU"/>
        </w:rPr>
        <w:t xml:space="preserve"> процесс </w:t>
      </w:r>
      <w:r w:rsidRPr="005F7836">
        <w:rPr>
          <w:rFonts w:cs="Arial"/>
          <w:lang w:val="ru-RU"/>
        </w:rPr>
        <w:t xml:space="preserve">разработки </w:t>
      </w:r>
      <w:r w:rsidR="003D610B" w:rsidRPr="005F7836">
        <w:rPr>
          <w:rFonts w:cs="Arial"/>
          <w:lang w:val="ru-RU"/>
        </w:rPr>
        <w:t xml:space="preserve"> ко</w:t>
      </w:r>
      <w:r w:rsidRPr="005F7836">
        <w:rPr>
          <w:rFonts w:cs="Arial"/>
          <w:lang w:val="ru-RU"/>
        </w:rPr>
        <w:t>нцепции, принципов и тематических инициатив в масштабах всего Движения. Наряду с этим было</w:t>
      </w:r>
      <w:r w:rsidR="003D610B" w:rsidRPr="005F7836">
        <w:rPr>
          <w:rFonts w:cs="Arial"/>
          <w:lang w:val="ru-RU"/>
        </w:rPr>
        <w:t xml:space="preserve"> </w:t>
      </w:r>
      <w:r w:rsidRPr="005F7836">
        <w:rPr>
          <w:rFonts w:cs="Arial"/>
          <w:lang w:val="ru-RU"/>
        </w:rPr>
        <w:t>реализовано несколько общих инициатив, признающих</w:t>
      </w:r>
      <w:r w:rsidR="003D610B" w:rsidRPr="005F7836">
        <w:rPr>
          <w:rFonts w:cs="Arial"/>
          <w:lang w:val="ru-RU"/>
        </w:rPr>
        <w:t xml:space="preserve"> </w:t>
      </w:r>
      <w:r w:rsidRPr="005F7836">
        <w:rPr>
          <w:rFonts w:cs="Arial"/>
          <w:lang w:val="ru-RU"/>
        </w:rPr>
        <w:t>необходимость обеспечения</w:t>
      </w:r>
      <w:r w:rsidR="003D610B" w:rsidRPr="005F7836">
        <w:rPr>
          <w:rFonts w:cs="Arial"/>
          <w:lang w:val="ru-RU"/>
        </w:rPr>
        <w:t xml:space="preserve"> большей </w:t>
      </w:r>
      <w:r w:rsidRPr="005F7836">
        <w:rPr>
          <w:rFonts w:cs="Arial"/>
          <w:lang w:val="ru-RU"/>
        </w:rPr>
        <w:t>последовательности и согласованности действий</w:t>
      </w:r>
      <w:r w:rsidR="003D610B" w:rsidRPr="005F7836">
        <w:rPr>
          <w:rFonts w:cs="Arial"/>
          <w:lang w:val="ru-RU"/>
        </w:rPr>
        <w:t xml:space="preserve"> в области моб</w:t>
      </w:r>
      <w:r w:rsidRPr="005F7836">
        <w:rPr>
          <w:rFonts w:cs="Arial"/>
          <w:lang w:val="ru-RU"/>
        </w:rPr>
        <w:t>илизации ресурсов и поддержки национальных обществ в укреплении их совокупного</w:t>
      </w:r>
      <w:r w:rsidR="003D610B" w:rsidRPr="005F7836">
        <w:rPr>
          <w:rFonts w:cs="Arial"/>
          <w:lang w:val="ru-RU"/>
        </w:rPr>
        <w:t xml:space="preserve"> организационного </w:t>
      </w:r>
      <w:r w:rsidR="00606731" w:rsidRPr="005F7836">
        <w:rPr>
          <w:rFonts w:cs="Arial"/>
          <w:lang w:val="ru-RU"/>
        </w:rPr>
        <w:t>потенциала, в числе которых</w:t>
      </w:r>
      <w:r w:rsidR="003D610B" w:rsidRPr="005F7836">
        <w:rPr>
          <w:rFonts w:cs="Arial"/>
          <w:lang w:val="ru-RU"/>
        </w:rPr>
        <w:t>:</w:t>
      </w:r>
    </w:p>
    <w:p w14:paraId="69CF088B" w14:textId="71193DF7" w:rsidR="00CD4BC6" w:rsidRPr="005F7836" w:rsidRDefault="00606731" w:rsidP="00F02EAF">
      <w:pPr>
        <w:pStyle w:val="CoDNormal"/>
        <w:rPr>
          <w:rFonts w:cs="Arial"/>
          <w:lang w:val="ru-RU"/>
        </w:rPr>
      </w:pPr>
      <w:r w:rsidRPr="005F7836">
        <w:rPr>
          <w:rFonts w:cs="Arial"/>
          <w:lang w:val="ru-RU"/>
        </w:rPr>
        <w:t>Резолюция</w:t>
      </w:r>
      <w:r w:rsidR="00D43A30" w:rsidRPr="005F7836">
        <w:rPr>
          <w:rFonts w:cs="Arial"/>
          <w:lang w:val="ru-RU"/>
        </w:rPr>
        <w:t xml:space="preserve"> 1,</w:t>
      </w:r>
      <w:r w:rsidR="00072F25" w:rsidRPr="005F7836">
        <w:rPr>
          <w:rFonts w:cs="Arial"/>
          <w:lang w:val="ru-RU"/>
        </w:rPr>
        <w:t xml:space="preserve"> “</w:t>
      </w:r>
      <w:r w:rsidRPr="005F7836">
        <w:rPr>
          <w:rFonts w:cs="Arial"/>
          <w:lang w:val="ru-RU"/>
        </w:rPr>
        <w:t>Укрепление</w:t>
      </w:r>
      <w:r w:rsidR="00072F25" w:rsidRPr="005F7836">
        <w:rPr>
          <w:rFonts w:cs="Arial"/>
          <w:lang w:val="ru-RU"/>
        </w:rPr>
        <w:t xml:space="preserve"> координации и сотрудничества в </w:t>
      </w:r>
      <w:r w:rsidR="00CD4BC6" w:rsidRPr="005F7836">
        <w:rPr>
          <w:rFonts w:cs="Arial"/>
          <w:lang w:val="ru-RU"/>
        </w:rPr>
        <w:t xml:space="preserve">рамках Движения (УКСД): оптимизация </w:t>
      </w:r>
      <w:r w:rsidRPr="005F7836">
        <w:rPr>
          <w:rFonts w:cs="Arial"/>
          <w:lang w:val="ru-RU"/>
        </w:rPr>
        <w:t xml:space="preserve">операций </w:t>
      </w:r>
      <w:r w:rsidR="00CD4BC6" w:rsidRPr="005F7836">
        <w:rPr>
          <w:rFonts w:cs="Arial"/>
          <w:lang w:val="ru-RU"/>
        </w:rPr>
        <w:t xml:space="preserve">гуманитарного реагирования Движения </w:t>
      </w:r>
      <w:r w:rsidR="0052028A" w:rsidRPr="005F7836">
        <w:rPr>
          <w:rFonts w:cs="Arial"/>
          <w:lang w:val="ru-RU"/>
        </w:rPr>
        <w:t xml:space="preserve">(CD/15/R1), </w:t>
      </w:r>
      <w:r w:rsidR="00CD4BC6" w:rsidRPr="005F7836">
        <w:rPr>
          <w:rFonts w:cs="Arial"/>
          <w:lang w:val="ru-RU"/>
        </w:rPr>
        <w:t>цель 7</w:t>
      </w:r>
      <w:r w:rsidRPr="005F7836">
        <w:rPr>
          <w:rFonts w:cs="Arial"/>
          <w:lang w:val="ru-RU"/>
        </w:rPr>
        <w:t xml:space="preserve"> призывает Движение: “[придерживаться</w:t>
      </w:r>
      <w:r w:rsidR="00CD4BC6" w:rsidRPr="005F7836">
        <w:rPr>
          <w:rFonts w:cs="Arial"/>
          <w:lang w:val="ru-RU"/>
        </w:rPr>
        <w:t xml:space="preserve">] </w:t>
      </w:r>
      <w:r w:rsidRPr="005F7836">
        <w:rPr>
          <w:rFonts w:cs="Arial"/>
          <w:lang w:val="ru-RU"/>
        </w:rPr>
        <w:t>последовательного и взаимодополняющего</w:t>
      </w:r>
      <w:r w:rsidR="00CD4BC6" w:rsidRPr="005F7836">
        <w:rPr>
          <w:rFonts w:cs="Arial"/>
          <w:lang w:val="ru-RU"/>
        </w:rPr>
        <w:t xml:space="preserve"> </w:t>
      </w:r>
      <w:r w:rsidRPr="005F7836">
        <w:rPr>
          <w:rFonts w:cs="Arial"/>
          <w:lang w:val="ru-RU"/>
        </w:rPr>
        <w:t>подхода</w:t>
      </w:r>
      <w:r w:rsidR="00A01588" w:rsidRPr="005F7836">
        <w:rPr>
          <w:rFonts w:cs="Arial"/>
          <w:lang w:val="ru-RU"/>
        </w:rPr>
        <w:t xml:space="preserve"> к</w:t>
      </w:r>
      <w:r w:rsidR="00CD4BC6" w:rsidRPr="005F7836">
        <w:rPr>
          <w:rFonts w:cs="Arial"/>
          <w:lang w:val="ru-RU"/>
        </w:rPr>
        <w:t xml:space="preserve"> мобилизации </w:t>
      </w:r>
      <w:r w:rsidR="00A01588" w:rsidRPr="005F7836">
        <w:rPr>
          <w:rFonts w:cs="Arial"/>
          <w:lang w:val="ru-RU"/>
        </w:rPr>
        <w:t>ресурсов</w:t>
      </w:r>
      <w:r w:rsidR="00CD4BC6" w:rsidRPr="005F7836">
        <w:rPr>
          <w:rFonts w:cs="Arial"/>
          <w:lang w:val="ru-RU"/>
        </w:rPr>
        <w:t xml:space="preserve"> </w:t>
      </w:r>
      <w:r w:rsidR="00A01588" w:rsidRPr="005F7836">
        <w:rPr>
          <w:rFonts w:cs="Arial"/>
          <w:lang w:val="ru-RU"/>
        </w:rPr>
        <w:t>в рамках широкомасштабных ЧС”, при этом</w:t>
      </w:r>
      <w:r w:rsidR="00CD4BC6" w:rsidRPr="005F7836">
        <w:rPr>
          <w:rFonts w:cs="Arial"/>
          <w:lang w:val="ru-RU"/>
        </w:rPr>
        <w:t xml:space="preserve"> оперативн</w:t>
      </w:r>
      <w:r w:rsidR="00A01588" w:rsidRPr="005F7836">
        <w:rPr>
          <w:rFonts w:cs="Arial"/>
          <w:lang w:val="ru-RU"/>
        </w:rPr>
        <w:t>ый параграф 9, подчеркивает что</w:t>
      </w:r>
      <w:r w:rsidR="00CD4BC6" w:rsidRPr="005F7836">
        <w:rPr>
          <w:rFonts w:cs="Arial"/>
          <w:lang w:val="ru-RU"/>
        </w:rPr>
        <w:t>:</w:t>
      </w:r>
      <w:r w:rsidR="00D43A30" w:rsidRPr="005F7836">
        <w:rPr>
          <w:rFonts w:cs="Arial"/>
          <w:lang w:val="ru-RU"/>
        </w:rPr>
        <w:t xml:space="preserve"> “</w:t>
      </w:r>
      <w:r w:rsidR="00603F33" w:rsidRPr="005F7836">
        <w:rPr>
          <w:rFonts w:cs="Arial"/>
          <w:lang w:val="ru-RU"/>
        </w:rPr>
        <w:t>[</w:t>
      </w:r>
      <w:r w:rsidR="00D43A30" w:rsidRPr="005F7836">
        <w:rPr>
          <w:rFonts w:cs="Arial"/>
          <w:lang w:val="ru-RU"/>
        </w:rPr>
        <w:t>a</w:t>
      </w:r>
      <w:r w:rsidR="00603F33" w:rsidRPr="005F7836">
        <w:rPr>
          <w:rFonts w:cs="Arial"/>
          <w:lang w:val="ru-RU"/>
        </w:rPr>
        <w:t>]</w:t>
      </w:r>
      <w:r w:rsidR="00D43A30" w:rsidRPr="005F7836">
        <w:rPr>
          <w:rFonts w:cs="Arial"/>
          <w:lang w:val="ru-RU"/>
        </w:rPr>
        <w:t xml:space="preserve"> </w:t>
      </w:r>
      <w:r w:rsidR="00CD4BC6" w:rsidRPr="005F7836">
        <w:rPr>
          <w:rFonts w:cs="Arial"/>
          <w:lang w:val="ru-RU"/>
        </w:rPr>
        <w:t xml:space="preserve">Подход к мобилизации ресурсов в масштабах Движения должен основываться на взаимодополняемости и </w:t>
      </w:r>
      <w:r w:rsidR="00A01588" w:rsidRPr="005F7836">
        <w:rPr>
          <w:rFonts w:cs="Arial"/>
          <w:lang w:val="ru-RU"/>
        </w:rPr>
        <w:t>отсутствии</w:t>
      </w:r>
      <w:r w:rsidR="00CD4BC6" w:rsidRPr="005F7836">
        <w:rPr>
          <w:rFonts w:cs="Arial"/>
          <w:lang w:val="ru-RU"/>
        </w:rPr>
        <w:t xml:space="preserve"> конкуренции, что означает </w:t>
      </w:r>
      <w:r w:rsidR="00A01588" w:rsidRPr="005F7836">
        <w:rPr>
          <w:rFonts w:cs="Arial"/>
          <w:lang w:val="ru-RU"/>
        </w:rPr>
        <w:t>необходимость</w:t>
      </w:r>
      <w:r w:rsidR="00CD4BC6" w:rsidRPr="005F7836">
        <w:rPr>
          <w:rFonts w:cs="Arial"/>
          <w:lang w:val="ru-RU"/>
        </w:rPr>
        <w:t xml:space="preserve"> избегат</w:t>
      </w:r>
      <w:r w:rsidR="00A01588" w:rsidRPr="005F7836">
        <w:rPr>
          <w:rFonts w:cs="Arial"/>
          <w:lang w:val="ru-RU"/>
        </w:rPr>
        <w:t>ь соперничества</w:t>
      </w:r>
      <w:r w:rsidR="00CD4BC6" w:rsidRPr="005F7836">
        <w:rPr>
          <w:rFonts w:cs="Arial"/>
          <w:lang w:val="ru-RU"/>
        </w:rPr>
        <w:t xml:space="preserve"> внутри Движения”.</w:t>
      </w:r>
    </w:p>
    <w:p w14:paraId="7ADE6B32" w14:textId="38E456F7" w:rsidR="007353B3" w:rsidRPr="005F7836" w:rsidRDefault="00CD4BC6" w:rsidP="003C2484">
      <w:pPr>
        <w:pStyle w:val="CoDNormal"/>
        <w:rPr>
          <w:rFonts w:cs="Arial"/>
          <w:lang w:val="ru-RU"/>
        </w:rPr>
      </w:pPr>
      <w:r w:rsidRPr="005F7836">
        <w:rPr>
          <w:rFonts w:cs="Arial"/>
          <w:lang w:val="ru-RU"/>
        </w:rPr>
        <w:t>Резолюция</w:t>
      </w:r>
      <w:r w:rsidR="00D43A30" w:rsidRPr="005F7836">
        <w:rPr>
          <w:rFonts w:cs="Arial"/>
          <w:lang w:val="ru-RU"/>
        </w:rPr>
        <w:t xml:space="preserve"> 6</w:t>
      </w:r>
      <w:r w:rsidR="00DB4C0A" w:rsidRPr="005F7836">
        <w:rPr>
          <w:rFonts w:cs="Arial"/>
          <w:lang w:val="ru-RU"/>
        </w:rPr>
        <w:t>,</w:t>
      </w:r>
      <w:r w:rsidR="00D43A30" w:rsidRPr="005F7836">
        <w:rPr>
          <w:rFonts w:cs="Arial"/>
          <w:lang w:val="ru-RU"/>
        </w:rPr>
        <w:t xml:space="preserve"> </w:t>
      </w:r>
      <w:r w:rsidRPr="005F7836">
        <w:rPr>
          <w:rFonts w:cs="Arial"/>
          <w:lang w:val="ru-RU"/>
        </w:rPr>
        <w:t>“Инициатива по укреплению имиджа Международного Движения Красного Креста и Красного Полумесяца</w:t>
      </w:r>
      <w:r w:rsidR="00DB4C0A" w:rsidRPr="005F7836">
        <w:rPr>
          <w:rFonts w:cs="Arial"/>
          <w:lang w:val="ru-RU"/>
        </w:rPr>
        <w:t>”</w:t>
      </w:r>
      <w:r w:rsidR="00D43A30" w:rsidRPr="005F7836">
        <w:rPr>
          <w:rFonts w:cs="Arial"/>
          <w:lang w:val="ru-RU"/>
        </w:rPr>
        <w:t xml:space="preserve"> (CD/13/R6),</w:t>
      </w:r>
      <w:r w:rsidRPr="005F7836">
        <w:rPr>
          <w:rFonts w:cs="Arial"/>
          <w:lang w:val="ru-RU"/>
        </w:rPr>
        <w:t xml:space="preserve"> в параграфе </w:t>
      </w:r>
      <w:r w:rsidR="003C424C" w:rsidRPr="005F7836">
        <w:rPr>
          <w:rFonts w:cs="Arial"/>
          <w:lang w:val="ru-RU"/>
        </w:rPr>
        <w:t>4 преамбулы упоминается</w:t>
      </w:r>
      <w:r w:rsidRPr="005F7836">
        <w:rPr>
          <w:rFonts w:cs="Arial"/>
          <w:lang w:val="ru-RU"/>
        </w:rPr>
        <w:t xml:space="preserve"> решение Правления МФОККиКП “</w:t>
      </w:r>
      <w:r w:rsidR="003C424C" w:rsidRPr="005F7836">
        <w:rPr>
          <w:rFonts w:cs="Arial"/>
          <w:lang w:val="ru-RU"/>
        </w:rPr>
        <w:t>разработать требования к потенциальному логотипу</w:t>
      </w:r>
      <w:r w:rsidRPr="005F7836">
        <w:rPr>
          <w:rFonts w:cs="Arial"/>
          <w:lang w:val="ru-RU"/>
        </w:rPr>
        <w:t xml:space="preserve"> Движения и инициировать дискуссию по разработке рамочной концепции мобилизации ресурсов в масш</w:t>
      </w:r>
      <w:r w:rsidR="003C424C" w:rsidRPr="005F7836">
        <w:rPr>
          <w:rFonts w:cs="Arial"/>
          <w:lang w:val="ru-RU"/>
        </w:rPr>
        <w:t>табах Движения”. В ответ на это уча</w:t>
      </w:r>
      <w:r w:rsidRPr="005F7836">
        <w:rPr>
          <w:rFonts w:cs="Arial"/>
          <w:lang w:val="ru-RU"/>
        </w:rPr>
        <w:t>с</w:t>
      </w:r>
      <w:r w:rsidR="003C424C" w:rsidRPr="005F7836">
        <w:rPr>
          <w:rFonts w:cs="Arial"/>
          <w:lang w:val="ru-RU"/>
        </w:rPr>
        <w:t>тники Движения представили Рез</w:t>
      </w:r>
      <w:r w:rsidRPr="005F7836">
        <w:rPr>
          <w:rFonts w:cs="Arial"/>
          <w:lang w:val="ru-RU"/>
        </w:rPr>
        <w:t>олюци</w:t>
      </w:r>
      <w:r w:rsidR="003C424C" w:rsidRPr="005F7836">
        <w:rPr>
          <w:rFonts w:cs="Arial"/>
          <w:lang w:val="ru-RU"/>
        </w:rPr>
        <w:t>ю 2,  “Инициатива по укреплению</w:t>
      </w:r>
      <w:r w:rsidRPr="005F7836">
        <w:rPr>
          <w:rFonts w:cs="Arial"/>
          <w:lang w:val="ru-RU"/>
        </w:rPr>
        <w:t xml:space="preserve"> имиджа </w:t>
      </w:r>
      <w:r w:rsidR="003C424C" w:rsidRPr="005F7836">
        <w:rPr>
          <w:rFonts w:cs="Arial"/>
          <w:lang w:val="ru-RU"/>
        </w:rPr>
        <w:t>Международного</w:t>
      </w:r>
      <w:r w:rsidRPr="005F7836">
        <w:rPr>
          <w:rFonts w:cs="Arial"/>
          <w:lang w:val="ru-RU"/>
        </w:rPr>
        <w:t xml:space="preserve"> </w:t>
      </w:r>
      <w:r w:rsidR="003C424C" w:rsidRPr="005F7836">
        <w:rPr>
          <w:rFonts w:cs="Arial"/>
          <w:lang w:val="ru-RU"/>
        </w:rPr>
        <w:t>Движения</w:t>
      </w:r>
      <w:r w:rsidRPr="005F7836">
        <w:rPr>
          <w:rFonts w:cs="Arial"/>
          <w:lang w:val="ru-RU"/>
        </w:rPr>
        <w:t xml:space="preserve"> Красного Креста и </w:t>
      </w:r>
      <w:r w:rsidR="003C424C" w:rsidRPr="005F7836">
        <w:rPr>
          <w:rFonts w:cs="Arial"/>
          <w:lang w:val="ru-RU"/>
        </w:rPr>
        <w:t>Красного</w:t>
      </w:r>
      <w:r w:rsidR="007B24B8" w:rsidRPr="005F7836">
        <w:rPr>
          <w:rFonts w:cs="Arial"/>
          <w:lang w:val="ru-RU"/>
        </w:rPr>
        <w:t xml:space="preserve"> Полумесяца: Утверждение</w:t>
      </w:r>
      <w:r w:rsidRPr="005F7836">
        <w:rPr>
          <w:rFonts w:cs="Arial"/>
          <w:lang w:val="ru-RU"/>
        </w:rPr>
        <w:t xml:space="preserve"> логотипа Международного Движения Красного Креста и Красного </w:t>
      </w:r>
      <w:r w:rsidR="003C424C" w:rsidRPr="005F7836">
        <w:rPr>
          <w:rFonts w:cs="Arial"/>
          <w:lang w:val="ru-RU"/>
        </w:rPr>
        <w:t>Полумесяца</w:t>
      </w:r>
      <w:r w:rsidR="0023677B" w:rsidRPr="005F7836">
        <w:rPr>
          <w:rFonts w:cs="Arial"/>
          <w:lang w:val="ru-RU"/>
        </w:rPr>
        <w:t>”</w:t>
      </w:r>
      <w:r w:rsidR="00D43A30" w:rsidRPr="005F7836">
        <w:rPr>
          <w:rFonts w:cs="Arial"/>
          <w:lang w:val="ru-RU"/>
        </w:rPr>
        <w:t xml:space="preserve"> </w:t>
      </w:r>
      <w:r w:rsidR="0023677B" w:rsidRPr="005F7836">
        <w:rPr>
          <w:rFonts w:cs="Arial"/>
          <w:lang w:val="ru-RU"/>
        </w:rPr>
        <w:t>(</w:t>
      </w:r>
      <w:r w:rsidR="00D43A30" w:rsidRPr="005F7836">
        <w:rPr>
          <w:rFonts w:cs="Arial"/>
          <w:lang w:val="ru-RU"/>
        </w:rPr>
        <w:t>CD/15/R2</w:t>
      </w:r>
      <w:r w:rsidR="0023677B" w:rsidRPr="005F7836">
        <w:rPr>
          <w:rFonts w:cs="Arial"/>
          <w:lang w:val="ru-RU"/>
        </w:rPr>
        <w:t>)</w:t>
      </w:r>
      <w:r w:rsidRPr="005F7836">
        <w:rPr>
          <w:rFonts w:cs="Arial"/>
          <w:lang w:val="ru-RU"/>
        </w:rPr>
        <w:t xml:space="preserve"> Совету делегатов в декабре 2015 года. Данная Резолюц</w:t>
      </w:r>
      <w:r w:rsidR="007B24B8" w:rsidRPr="005F7836">
        <w:rPr>
          <w:rFonts w:cs="Arial"/>
          <w:lang w:val="ru-RU"/>
        </w:rPr>
        <w:t>ия ставит своей целью создать условия для того</w:t>
      </w:r>
      <w:r w:rsidRPr="005F7836">
        <w:rPr>
          <w:rFonts w:cs="Arial"/>
          <w:lang w:val="ru-RU"/>
        </w:rPr>
        <w:t>, чтобы Движение могло, в исключительном порядке, использовать л</w:t>
      </w:r>
      <w:r w:rsidR="007B24B8" w:rsidRPr="005F7836">
        <w:rPr>
          <w:rFonts w:cs="Arial"/>
          <w:lang w:val="ru-RU"/>
        </w:rPr>
        <w:t xml:space="preserve">оготип Движения для максимального обеспечения </w:t>
      </w:r>
      <w:r w:rsidRPr="005F7836">
        <w:rPr>
          <w:rFonts w:cs="Arial"/>
          <w:lang w:val="ru-RU"/>
        </w:rPr>
        <w:t>“нагляд</w:t>
      </w:r>
      <w:r w:rsidR="007B24B8" w:rsidRPr="005F7836">
        <w:rPr>
          <w:rFonts w:cs="Arial"/>
          <w:lang w:val="ru-RU"/>
        </w:rPr>
        <w:t>н</w:t>
      </w:r>
      <w:r w:rsidRPr="005F7836">
        <w:rPr>
          <w:rFonts w:cs="Arial"/>
          <w:lang w:val="ru-RU"/>
        </w:rPr>
        <w:t>ости</w:t>
      </w:r>
      <w:r w:rsidR="007B24B8" w:rsidRPr="005F7836">
        <w:rPr>
          <w:rFonts w:cs="Arial"/>
          <w:lang w:val="ru-RU"/>
        </w:rPr>
        <w:t xml:space="preserve"> своей деятельности</w:t>
      </w:r>
      <w:r w:rsidRPr="005F7836">
        <w:rPr>
          <w:rFonts w:cs="Arial"/>
          <w:lang w:val="ru-RU"/>
        </w:rPr>
        <w:t xml:space="preserve">, </w:t>
      </w:r>
      <w:r w:rsidR="007B24B8" w:rsidRPr="005F7836">
        <w:rPr>
          <w:rFonts w:cs="Arial"/>
          <w:lang w:val="ru-RU"/>
        </w:rPr>
        <w:t xml:space="preserve">четкого </w:t>
      </w:r>
      <w:r w:rsidRPr="005F7836">
        <w:rPr>
          <w:rFonts w:cs="Arial"/>
          <w:lang w:val="ru-RU"/>
        </w:rPr>
        <w:t xml:space="preserve">позиционирования </w:t>
      </w:r>
      <w:r w:rsidR="007B24B8" w:rsidRPr="005F7836">
        <w:rPr>
          <w:rFonts w:cs="Arial"/>
          <w:lang w:val="ru-RU"/>
        </w:rPr>
        <w:t>и привлечения средств на осуществление гум</w:t>
      </w:r>
      <w:r w:rsidRPr="005F7836">
        <w:rPr>
          <w:rFonts w:cs="Arial"/>
          <w:lang w:val="ru-RU"/>
        </w:rPr>
        <w:t>а</w:t>
      </w:r>
      <w:r w:rsidR="007B24B8" w:rsidRPr="005F7836">
        <w:rPr>
          <w:rFonts w:cs="Arial"/>
          <w:lang w:val="ru-RU"/>
        </w:rPr>
        <w:t>нитарной деятельности</w:t>
      </w:r>
      <w:r w:rsidRPr="005F7836">
        <w:rPr>
          <w:rFonts w:cs="Arial"/>
          <w:lang w:val="ru-RU"/>
        </w:rPr>
        <w:t xml:space="preserve"> </w:t>
      </w:r>
      <w:r w:rsidR="007B24B8" w:rsidRPr="005F7836">
        <w:rPr>
          <w:rFonts w:cs="Arial"/>
          <w:lang w:val="ru-RU"/>
        </w:rPr>
        <w:t>Движения</w:t>
      </w:r>
      <w:r w:rsidRPr="005F7836">
        <w:rPr>
          <w:rFonts w:cs="Arial"/>
          <w:lang w:val="ru-RU"/>
        </w:rPr>
        <w:t xml:space="preserve"> и </w:t>
      </w:r>
      <w:r w:rsidR="007B24B8" w:rsidRPr="005F7836">
        <w:rPr>
          <w:rFonts w:cs="Arial"/>
          <w:lang w:val="ru-RU"/>
        </w:rPr>
        <w:t xml:space="preserve">поддержку </w:t>
      </w:r>
      <w:r w:rsidRPr="005F7836">
        <w:rPr>
          <w:rFonts w:cs="Arial"/>
          <w:lang w:val="ru-RU"/>
        </w:rPr>
        <w:t>людей, которых оно обслуживает”. Резолюция также признает “важность</w:t>
      </w:r>
      <w:r w:rsidR="007B24B8" w:rsidRPr="005F7836">
        <w:rPr>
          <w:rFonts w:cs="Arial"/>
          <w:lang w:val="ru-RU"/>
        </w:rPr>
        <w:t xml:space="preserve"> того, чтобы</w:t>
      </w:r>
      <w:r w:rsidRPr="005F7836">
        <w:rPr>
          <w:rFonts w:cs="Arial"/>
          <w:lang w:val="ru-RU"/>
        </w:rPr>
        <w:t xml:space="preserve"> </w:t>
      </w:r>
      <w:r w:rsidR="007B24B8" w:rsidRPr="005F7836">
        <w:rPr>
          <w:rFonts w:cs="Arial"/>
          <w:lang w:val="ru-RU"/>
        </w:rPr>
        <w:t>Движение</w:t>
      </w:r>
      <w:r w:rsidR="00592176" w:rsidRPr="005F7836">
        <w:rPr>
          <w:rFonts w:cs="Arial"/>
          <w:lang w:val="ru-RU"/>
        </w:rPr>
        <w:t xml:space="preserve"> и его участни</w:t>
      </w:r>
      <w:r w:rsidR="007B24B8" w:rsidRPr="005F7836">
        <w:rPr>
          <w:rFonts w:cs="Arial"/>
          <w:lang w:val="ru-RU"/>
        </w:rPr>
        <w:t>ки расширяли свое сотрудничество</w:t>
      </w:r>
      <w:r w:rsidR="00592176" w:rsidRPr="005F7836">
        <w:rPr>
          <w:rFonts w:cs="Arial"/>
          <w:lang w:val="ru-RU"/>
        </w:rPr>
        <w:t xml:space="preserve"> по вопросам </w:t>
      </w:r>
      <w:r w:rsidR="007B24B8" w:rsidRPr="005F7836">
        <w:rPr>
          <w:rFonts w:cs="Arial"/>
          <w:lang w:val="ru-RU"/>
        </w:rPr>
        <w:t>мобилизации</w:t>
      </w:r>
      <w:r w:rsidR="00592176" w:rsidRPr="005F7836">
        <w:rPr>
          <w:rFonts w:cs="Arial"/>
          <w:lang w:val="ru-RU"/>
        </w:rPr>
        <w:t xml:space="preserve"> р</w:t>
      </w:r>
      <w:r w:rsidR="00A1212D" w:rsidRPr="005F7836">
        <w:rPr>
          <w:rFonts w:cs="Arial"/>
          <w:lang w:val="ru-RU"/>
        </w:rPr>
        <w:t>есурсов и продолжили</w:t>
      </w:r>
      <w:r w:rsidR="00592176" w:rsidRPr="005F7836">
        <w:rPr>
          <w:rFonts w:cs="Arial"/>
          <w:lang w:val="ru-RU"/>
        </w:rPr>
        <w:t xml:space="preserve"> </w:t>
      </w:r>
      <w:r w:rsidR="00A1212D" w:rsidRPr="005F7836">
        <w:rPr>
          <w:rFonts w:cs="Arial"/>
          <w:lang w:val="ru-RU"/>
        </w:rPr>
        <w:t>наращивать потенциал</w:t>
      </w:r>
      <w:r w:rsidR="00592176" w:rsidRPr="005F7836">
        <w:rPr>
          <w:rFonts w:cs="Arial"/>
          <w:lang w:val="ru-RU"/>
        </w:rPr>
        <w:t xml:space="preserve"> в области привлечения </w:t>
      </w:r>
      <w:r w:rsidR="00A1212D" w:rsidRPr="005F7836">
        <w:rPr>
          <w:rFonts w:cs="Arial"/>
          <w:lang w:val="ru-RU"/>
        </w:rPr>
        <w:t>средств на коллективной и индивидуальной основе</w:t>
      </w:r>
      <w:r w:rsidR="00592176" w:rsidRPr="005F7836">
        <w:rPr>
          <w:rFonts w:cs="Arial"/>
          <w:lang w:val="ru-RU"/>
        </w:rPr>
        <w:t xml:space="preserve"> на благо </w:t>
      </w:r>
      <w:r w:rsidR="00A1212D" w:rsidRPr="005F7836">
        <w:rPr>
          <w:rFonts w:cs="Arial"/>
          <w:lang w:val="ru-RU"/>
        </w:rPr>
        <w:t>наиболее уязвимых категорий лиц</w:t>
      </w:r>
      <w:r w:rsidR="00592176" w:rsidRPr="005F7836">
        <w:rPr>
          <w:rFonts w:cs="Arial"/>
          <w:lang w:val="ru-RU"/>
        </w:rPr>
        <w:t xml:space="preserve"> и сообществ, которых они обслуживают”.</w:t>
      </w:r>
      <w:r w:rsidR="007353B3" w:rsidRPr="005F7836">
        <w:rPr>
          <w:rFonts w:cs="Arial"/>
          <w:lang w:val="ru-RU"/>
        </w:rPr>
        <w:t xml:space="preserve"> Оперативный параграф 6</w:t>
      </w:r>
      <w:r w:rsidR="00D43A30" w:rsidRPr="005F7836">
        <w:rPr>
          <w:rFonts w:cs="Arial"/>
          <w:lang w:val="ru-RU"/>
        </w:rPr>
        <w:t xml:space="preserve"> “</w:t>
      </w:r>
      <w:r w:rsidR="007353B3" w:rsidRPr="005F7836">
        <w:rPr>
          <w:rFonts w:cs="Arial"/>
          <w:i/>
          <w:lang w:val="ru-RU"/>
        </w:rPr>
        <w:t>обязывает</w:t>
      </w:r>
      <w:r w:rsidR="007353B3" w:rsidRPr="005F7836">
        <w:rPr>
          <w:rFonts w:cs="Arial"/>
          <w:lang w:val="ru-RU"/>
        </w:rPr>
        <w:t xml:space="preserve"> уча</w:t>
      </w:r>
      <w:r w:rsidR="00A1212D" w:rsidRPr="005F7836">
        <w:rPr>
          <w:rFonts w:cs="Arial"/>
          <w:lang w:val="ru-RU"/>
        </w:rPr>
        <w:t>стников Движения осуществлять</w:t>
      </w:r>
      <w:r w:rsidR="007353B3" w:rsidRPr="005F7836">
        <w:rPr>
          <w:rFonts w:cs="Arial"/>
          <w:lang w:val="ru-RU"/>
        </w:rPr>
        <w:t xml:space="preserve"> свое коллективно</w:t>
      </w:r>
      <w:r w:rsidR="00A1212D" w:rsidRPr="005F7836">
        <w:rPr>
          <w:rFonts w:cs="Arial"/>
          <w:lang w:val="ru-RU"/>
        </w:rPr>
        <w:t>е лидерство с целью максимального расширения</w:t>
      </w:r>
      <w:r w:rsidR="007353B3" w:rsidRPr="005F7836">
        <w:rPr>
          <w:rFonts w:cs="Arial"/>
          <w:lang w:val="ru-RU"/>
        </w:rPr>
        <w:t xml:space="preserve"> потенциала</w:t>
      </w:r>
      <w:r w:rsidR="00A1212D" w:rsidRPr="005F7836">
        <w:rPr>
          <w:rFonts w:cs="Arial"/>
          <w:lang w:val="ru-RU"/>
        </w:rPr>
        <w:t xml:space="preserve"> по привлечению</w:t>
      </w:r>
      <w:r w:rsidR="007353B3" w:rsidRPr="005F7836">
        <w:rPr>
          <w:rFonts w:cs="Arial"/>
          <w:lang w:val="ru-RU"/>
        </w:rPr>
        <w:t xml:space="preserve"> средств</w:t>
      </w:r>
      <w:r w:rsidR="00A1212D" w:rsidRPr="005F7836">
        <w:rPr>
          <w:rFonts w:cs="Arial"/>
          <w:lang w:val="ru-RU"/>
        </w:rPr>
        <w:t xml:space="preserve"> для</w:t>
      </w:r>
      <w:r w:rsidR="007353B3" w:rsidRPr="005F7836">
        <w:rPr>
          <w:rFonts w:cs="Arial"/>
          <w:lang w:val="ru-RU"/>
        </w:rPr>
        <w:t xml:space="preserve"> Движения в духе сотрудничества и </w:t>
      </w:r>
      <w:r w:rsidR="00A1212D" w:rsidRPr="005F7836">
        <w:rPr>
          <w:rFonts w:cs="Arial"/>
          <w:lang w:val="ru-RU"/>
        </w:rPr>
        <w:t>эффективного</w:t>
      </w:r>
      <w:r w:rsidR="007353B3" w:rsidRPr="005F7836">
        <w:rPr>
          <w:rFonts w:cs="Arial"/>
          <w:lang w:val="ru-RU"/>
        </w:rPr>
        <w:t xml:space="preserve"> </w:t>
      </w:r>
      <w:r w:rsidR="007353B3" w:rsidRPr="005F7836">
        <w:rPr>
          <w:rFonts w:cs="Arial"/>
          <w:lang w:val="ru-RU"/>
        </w:rPr>
        <w:lastRenderedPageBreak/>
        <w:t xml:space="preserve">партнерства, и </w:t>
      </w:r>
      <w:r w:rsidR="00A1212D" w:rsidRPr="005F7836">
        <w:rPr>
          <w:rFonts w:cs="Arial"/>
          <w:i/>
          <w:lang w:val="ru-RU"/>
        </w:rPr>
        <w:t>призывает</w:t>
      </w:r>
      <w:r w:rsidR="007353B3" w:rsidRPr="005F7836">
        <w:rPr>
          <w:rFonts w:cs="Arial"/>
          <w:lang w:val="ru-RU"/>
        </w:rPr>
        <w:t xml:space="preserve"> МККК и МФОККиКП </w:t>
      </w:r>
      <w:r w:rsidR="00A1212D" w:rsidRPr="005F7836">
        <w:rPr>
          <w:rFonts w:cs="Arial"/>
          <w:lang w:val="ru-RU"/>
        </w:rPr>
        <w:t>активно привлекать национальные общества к разработке</w:t>
      </w:r>
      <w:r w:rsidR="007353B3" w:rsidRPr="005F7836">
        <w:rPr>
          <w:rFonts w:cs="Arial"/>
          <w:lang w:val="ru-RU"/>
        </w:rPr>
        <w:t xml:space="preserve"> принципов моби</w:t>
      </w:r>
      <w:r w:rsidR="00A1212D" w:rsidRPr="005F7836">
        <w:rPr>
          <w:rFonts w:cs="Arial"/>
          <w:lang w:val="ru-RU"/>
        </w:rPr>
        <w:t>л</w:t>
      </w:r>
      <w:r w:rsidR="007353B3" w:rsidRPr="005F7836">
        <w:rPr>
          <w:rFonts w:cs="Arial"/>
          <w:lang w:val="ru-RU"/>
        </w:rPr>
        <w:t xml:space="preserve">изации ресурсов для всех участников </w:t>
      </w:r>
      <w:r w:rsidR="00A1212D" w:rsidRPr="005F7836">
        <w:rPr>
          <w:rFonts w:cs="Arial"/>
          <w:lang w:val="ru-RU"/>
        </w:rPr>
        <w:t>Движения, которые должны б</w:t>
      </w:r>
      <w:r w:rsidR="007353B3" w:rsidRPr="005F7836">
        <w:rPr>
          <w:rFonts w:cs="Arial"/>
          <w:lang w:val="ru-RU"/>
        </w:rPr>
        <w:t>ы</w:t>
      </w:r>
      <w:r w:rsidR="00A1212D" w:rsidRPr="005F7836">
        <w:rPr>
          <w:rFonts w:cs="Arial"/>
          <w:lang w:val="ru-RU"/>
        </w:rPr>
        <w:t>ть</w:t>
      </w:r>
      <w:r w:rsidR="007353B3" w:rsidRPr="005F7836">
        <w:rPr>
          <w:rFonts w:cs="Arial"/>
          <w:lang w:val="ru-RU"/>
        </w:rPr>
        <w:t xml:space="preserve"> переданы для </w:t>
      </w:r>
      <w:r w:rsidR="00A1212D" w:rsidRPr="005F7836">
        <w:rPr>
          <w:rFonts w:cs="Arial"/>
          <w:lang w:val="ru-RU"/>
        </w:rPr>
        <w:t>утверждения</w:t>
      </w:r>
      <w:r w:rsidR="007353B3" w:rsidRPr="005F7836">
        <w:rPr>
          <w:rFonts w:cs="Arial"/>
          <w:lang w:val="ru-RU"/>
        </w:rPr>
        <w:t xml:space="preserve"> Совету делегатов в 2017 году”.</w:t>
      </w:r>
    </w:p>
    <w:p w14:paraId="7CD3A87C" w14:textId="078928DC" w:rsidR="007353B3" w:rsidRPr="005F7836" w:rsidRDefault="00A1212D" w:rsidP="003C2484">
      <w:pPr>
        <w:pStyle w:val="CoDNormal"/>
        <w:rPr>
          <w:rFonts w:cs="Arial"/>
          <w:lang w:val="ru-RU"/>
        </w:rPr>
      </w:pPr>
      <w:r w:rsidRPr="005F7836">
        <w:rPr>
          <w:rFonts w:cs="Arial"/>
          <w:lang w:val="ru-RU"/>
        </w:rPr>
        <w:t>Предполагалось, что д</w:t>
      </w:r>
      <w:r w:rsidR="007353B3" w:rsidRPr="005F7836">
        <w:rPr>
          <w:rFonts w:cs="Arial"/>
          <w:lang w:val="ru-RU"/>
        </w:rPr>
        <w:t xml:space="preserve">анное </w:t>
      </w:r>
      <w:r w:rsidRPr="005F7836">
        <w:rPr>
          <w:rFonts w:cs="Arial"/>
          <w:lang w:val="ru-RU"/>
        </w:rPr>
        <w:t xml:space="preserve">обязательство должно помочь Движению </w:t>
      </w:r>
      <w:r w:rsidR="00101F1B" w:rsidRPr="005F7836">
        <w:rPr>
          <w:rFonts w:cs="Arial"/>
          <w:lang w:val="ru-RU"/>
        </w:rPr>
        <w:t>активизировать глобальную</w:t>
      </w:r>
      <w:r w:rsidR="007353B3" w:rsidRPr="005F7836">
        <w:rPr>
          <w:rFonts w:cs="Arial"/>
          <w:lang w:val="ru-RU"/>
        </w:rPr>
        <w:t xml:space="preserve"> с</w:t>
      </w:r>
      <w:r w:rsidR="00101F1B" w:rsidRPr="005F7836">
        <w:rPr>
          <w:rFonts w:cs="Arial"/>
          <w:lang w:val="ru-RU"/>
        </w:rPr>
        <w:t>тратегическую</w:t>
      </w:r>
      <w:r w:rsidR="007353B3" w:rsidRPr="005F7836">
        <w:rPr>
          <w:rFonts w:cs="Arial"/>
          <w:lang w:val="ru-RU"/>
        </w:rPr>
        <w:t xml:space="preserve"> направле</w:t>
      </w:r>
      <w:r w:rsidR="00101F1B" w:rsidRPr="005F7836">
        <w:rPr>
          <w:rFonts w:cs="Arial"/>
          <w:lang w:val="ru-RU"/>
        </w:rPr>
        <w:t>нность</w:t>
      </w:r>
      <w:r w:rsidR="008A5D92" w:rsidRPr="005F7836">
        <w:rPr>
          <w:rFonts w:cs="Arial"/>
          <w:lang w:val="ru-RU"/>
        </w:rPr>
        <w:t xml:space="preserve"> своей деятельности</w:t>
      </w:r>
      <w:r w:rsidR="007353B3" w:rsidRPr="005F7836">
        <w:rPr>
          <w:rFonts w:cs="Arial"/>
          <w:lang w:val="ru-RU"/>
        </w:rPr>
        <w:t xml:space="preserve"> в о</w:t>
      </w:r>
      <w:r w:rsidR="008A5D92" w:rsidRPr="005F7836">
        <w:rPr>
          <w:rFonts w:cs="Arial"/>
          <w:lang w:val="ru-RU"/>
        </w:rPr>
        <w:t>бласти мобилизации ресурсов, поскольку отсутствие должного внимания к данной сфере приводит к потерям значительных объемов средств</w:t>
      </w:r>
      <w:r w:rsidR="00944437" w:rsidRPr="005F7836">
        <w:rPr>
          <w:rFonts w:cs="Arial"/>
          <w:lang w:val="ru-RU"/>
        </w:rPr>
        <w:t>. Те, кто участвовали</w:t>
      </w:r>
      <w:r w:rsidR="007353B3" w:rsidRPr="005F7836">
        <w:rPr>
          <w:rFonts w:cs="Arial"/>
          <w:lang w:val="ru-RU"/>
        </w:rPr>
        <w:t xml:space="preserve"> в осуществлении и</w:t>
      </w:r>
      <w:r w:rsidR="00601F5E" w:rsidRPr="005F7836">
        <w:rPr>
          <w:rFonts w:cs="Arial"/>
          <w:lang w:val="ru-RU"/>
        </w:rPr>
        <w:t>нициатив</w:t>
      </w:r>
      <w:r w:rsidR="00944437" w:rsidRPr="005F7836">
        <w:rPr>
          <w:rFonts w:cs="Arial"/>
          <w:lang w:val="ru-RU"/>
        </w:rPr>
        <w:t xml:space="preserve"> по укреплению имиджа и разработке логотипа Движения, также признали преимущества наличия </w:t>
      </w:r>
      <w:r w:rsidR="00101F1B" w:rsidRPr="005F7836">
        <w:rPr>
          <w:rFonts w:cs="Arial"/>
          <w:lang w:val="ru-RU"/>
        </w:rPr>
        <w:t>глобальной</w:t>
      </w:r>
      <w:r w:rsidR="00944437" w:rsidRPr="005F7836">
        <w:rPr>
          <w:rFonts w:cs="Arial"/>
          <w:lang w:val="ru-RU"/>
        </w:rPr>
        <w:t xml:space="preserve"> стратегии. </w:t>
      </w:r>
    </w:p>
    <w:p w14:paraId="767F533A" w14:textId="6979B218" w:rsidR="00944437" w:rsidRPr="005F7836" w:rsidRDefault="00944437" w:rsidP="003C2484">
      <w:pPr>
        <w:pStyle w:val="CoDNormal"/>
        <w:rPr>
          <w:rFonts w:cs="Arial"/>
          <w:lang w:val="ru-RU"/>
        </w:rPr>
      </w:pPr>
      <w:r w:rsidRPr="005F7836">
        <w:rPr>
          <w:rFonts w:cs="Arial"/>
          <w:lang w:val="ru-RU"/>
        </w:rPr>
        <w:t>Другие круп</w:t>
      </w:r>
      <w:r w:rsidR="008A5D92" w:rsidRPr="005F7836">
        <w:rPr>
          <w:rFonts w:cs="Arial"/>
          <w:lang w:val="ru-RU"/>
        </w:rPr>
        <w:t>ные организации продолжают наращивать объемы</w:t>
      </w:r>
      <w:r w:rsidRPr="005F7836">
        <w:rPr>
          <w:rFonts w:cs="Arial"/>
          <w:lang w:val="ru-RU"/>
        </w:rPr>
        <w:t xml:space="preserve"> доход</w:t>
      </w:r>
      <w:r w:rsidR="008A5D92" w:rsidRPr="005F7836">
        <w:rPr>
          <w:rFonts w:cs="Arial"/>
          <w:lang w:val="ru-RU"/>
        </w:rPr>
        <w:t>ов</w:t>
      </w:r>
      <w:r w:rsidRPr="005F7836">
        <w:rPr>
          <w:rFonts w:cs="Arial"/>
          <w:lang w:val="ru-RU"/>
        </w:rPr>
        <w:t xml:space="preserve"> от привлечения средств и</w:t>
      </w:r>
      <w:r w:rsidR="008A5D92" w:rsidRPr="005F7836">
        <w:rPr>
          <w:rFonts w:cs="Arial"/>
          <w:lang w:val="ru-RU"/>
        </w:rPr>
        <w:t xml:space="preserve"> увеличивать свою</w:t>
      </w:r>
      <w:r w:rsidR="00601F5E" w:rsidRPr="005F7836">
        <w:rPr>
          <w:rFonts w:cs="Arial"/>
          <w:lang w:val="ru-RU"/>
        </w:rPr>
        <w:t xml:space="preserve"> долю рынка за счет</w:t>
      </w:r>
      <w:r w:rsidR="00DC461C" w:rsidRPr="005F7836">
        <w:rPr>
          <w:rFonts w:cs="Arial"/>
          <w:lang w:val="ru-RU"/>
        </w:rPr>
        <w:t xml:space="preserve"> потерь</w:t>
      </w:r>
      <w:r w:rsidR="008A5D92" w:rsidRPr="005F7836">
        <w:rPr>
          <w:rFonts w:cs="Arial"/>
          <w:lang w:val="ru-RU"/>
        </w:rPr>
        <w:t xml:space="preserve"> участников</w:t>
      </w:r>
      <w:r w:rsidRPr="005F7836">
        <w:rPr>
          <w:rFonts w:cs="Arial"/>
          <w:lang w:val="ru-RU"/>
        </w:rPr>
        <w:t xml:space="preserve"> Движения на местном и глобальном уровне. Принципы </w:t>
      </w:r>
      <w:r w:rsidR="00DC461C" w:rsidRPr="005F7836">
        <w:rPr>
          <w:rFonts w:cs="Arial"/>
          <w:lang w:val="ru-RU"/>
        </w:rPr>
        <w:t>мобилизации</w:t>
      </w:r>
      <w:r w:rsidRPr="005F7836">
        <w:rPr>
          <w:rFonts w:cs="Arial"/>
          <w:lang w:val="ru-RU"/>
        </w:rPr>
        <w:t xml:space="preserve"> ресурсов для всех </w:t>
      </w:r>
      <w:r w:rsidR="00DC461C" w:rsidRPr="005F7836">
        <w:rPr>
          <w:rFonts w:cs="Arial"/>
          <w:lang w:val="ru-RU"/>
        </w:rPr>
        <w:t>участников Д</w:t>
      </w:r>
      <w:r w:rsidRPr="005F7836">
        <w:rPr>
          <w:rFonts w:cs="Arial"/>
          <w:lang w:val="ru-RU"/>
        </w:rPr>
        <w:t>вижения были раз</w:t>
      </w:r>
      <w:r w:rsidR="00DC461C" w:rsidRPr="005F7836">
        <w:rPr>
          <w:rFonts w:cs="Arial"/>
          <w:lang w:val="ru-RU"/>
        </w:rPr>
        <w:t>работаны в ответ на эту сложившуюся ситуацию</w:t>
      </w:r>
      <w:r w:rsidRPr="005F7836">
        <w:rPr>
          <w:rFonts w:cs="Arial"/>
          <w:lang w:val="ru-RU"/>
        </w:rPr>
        <w:t xml:space="preserve">. </w:t>
      </w:r>
      <w:r w:rsidR="00DC461C" w:rsidRPr="005F7836">
        <w:rPr>
          <w:rFonts w:cs="Arial"/>
          <w:lang w:val="ru-RU"/>
        </w:rPr>
        <w:t>Они предлагают прояснить,</w:t>
      </w:r>
      <w:r w:rsidRPr="005F7836">
        <w:rPr>
          <w:rFonts w:cs="Arial"/>
          <w:lang w:val="ru-RU"/>
        </w:rPr>
        <w:t xml:space="preserve"> как система мобилизации ресурсов в масштабах Движения могла бы функционир</w:t>
      </w:r>
      <w:r w:rsidR="00DC461C" w:rsidRPr="005F7836">
        <w:rPr>
          <w:rFonts w:cs="Arial"/>
          <w:lang w:val="ru-RU"/>
        </w:rPr>
        <w:t>овать на практике и как мы можем</w:t>
      </w:r>
      <w:r w:rsidRPr="005F7836">
        <w:rPr>
          <w:rFonts w:cs="Arial"/>
          <w:lang w:val="ru-RU"/>
        </w:rPr>
        <w:t xml:space="preserve"> </w:t>
      </w:r>
      <w:r w:rsidR="00AA5D45" w:rsidRPr="005F7836">
        <w:rPr>
          <w:rFonts w:cs="Arial"/>
          <w:lang w:val="ru-RU"/>
        </w:rPr>
        <w:t>сосредоточить внимание на</w:t>
      </w:r>
      <w:r w:rsidRPr="005F7836">
        <w:rPr>
          <w:rFonts w:cs="Arial"/>
          <w:lang w:val="ru-RU"/>
        </w:rPr>
        <w:t xml:space="preserve"> конкуренции с другими </w:t>
      </w:r>
      <w:r w:rsidR="00AA5D45" w:rsidRPr="005F7836">
        <w:rPr>
          <w:rFonts w:cs="Arial"/>
          <w:lang w:val="ru-RU"/>
        </w:rPr>
        <w:t>гуманитарны</w:t>
      </w:r>
      <w:r w:rsidRPr="005F7836">
        <w:rPr>
          <w:rFonts w:cs="Arial"/>
          <w:lang w:val="ru-RU"/>
        </w:rPr>
        <w:t>м</w:t>
      </w:r>
      <w:r w:rsidR="00AA5D45" w:rsidRPr="005F7836">
        <w:rPr>
          <w:rFonts w:cs="Arial"/>
          <w:lang w:val="ru-RU"/>
        </w:rPr>
        <w:t>и и благотворительны</w:t>
      </w:r>
      <w:r w:rsidRPr="005F7836">
        <w:rPr>
          <w:rFonts w:cs="Arial"/>
          <w:lang w:val="ru-RU"/>
        </w:rPr>
        <w:t>м</w:t>
      </w:r>
      <w:r w:rsidR="00AA5D45" w:rsidRPr="005F7836">
        <w:rPr>
          <w:rFonts w:cs="Arial"/>
          <w:lang w:val="ru-RU"/>
        </w:rPr>
        <w:t>и организациями</w:t>
      </w:r>
      <w:r w:rsidRPr="005F7836">
        <w:rPr>
          <w:rFonts w:cs="Arial"/>
          <w:lang w:val="ru-RU"/>
        </w:rPr>
        <w:t>, а не друг с другом. Пр</w:t>
      </w:r>
      <w:r w:rsidR="00AA5D45" w:rsidRPr="005F7836">
        <w:rPr>
          <w:rFonts w:cs="Arial"/>
          <w:lang w:val="ru-RU"/>
        </w:rPr>
        <w:t>изыв найти пути для повышения потенциала Движения в области</w:t>
      </w:r>
      <w:r w:rsidRPr="005F7836">
        <w:rPr>
          <w:rFonts w:cs="Arial"/>
          <w:lang w:val="ru-RU"/>
        </w:rPr>
        <w:t xml:space="preserve"> привл</w:t>
      </w:r>
      <w:r w:rsidR="00AA5D45" w:rsidRPr="005F7836">
        <w:rPr>
          <w:rFonts w:cs="Arial"/>
          <w:lang w:val="ru-RU"/>
        </w:rPr>
        <w:t>ечения</w:t>
      </w:r>
      <w:r w:rsidRPr="005F7836">
        <w:rPr>
          <w:rFonts w:cs="Arial"/>
          <w:lang w:val="ru-RU"/>
        </w:rPr>
        <w:t xml:space="preserve"> средств также направлен на поиск </w:t>
      </w:r>
      <w:r w:rsidR="00AA5D45" w:rsidRPr="005F7836">
        <w:rPr>
          <w:rFonts w:cs="Arial"/>
          <w:lang w:val="ru-RU"/>
        </w:rPr>
        <w:t xml:space="preserve">возможностей максимально использовать </w:t>
      </w:r>
      <w:r w:rsidRPr="005F7836">
        <w:rPr>
          <w:rFonts w:cs="Arial"/>
          <w:lang w:val="ru-RU"/>
        </w:rPr>
        <w:t>сильны</w:t>
      </w:r>
      <w:r w:rsidR="00AA5D45" w:rsidRPr="005F7836">
        <w:rPr>
          <w:rFonts w:cs="Arial"/>
          <w:lang w:val="ru-RU"/>
        </w:rPr>
        <w:t>е</w:t>
      </w:r>
      <w:r w:rsidRPr="005F7836">
        <w:rPr>
          <w:rFonts w:cs="Arial"/>
          <w:lang w:val="ru-RU"/>
        </w:rPr>
        <w:t xml:space="preserve"> стороны и конкурентные</w:t>
      </w:r>
      <w:r w:rsidR="00AA5D45" w:rsidRPr="005F7836">
        <w:rPr>
          <w:rFonts w:cs="Arial"/>
          <w:lang w:val="ru-RU"/>
        </w:rPr>
        <w:t xml:space="preserve"> преимущества отдельных</w:t>
      </w:r>
      <w:r w:rsidRPr="005F7836">
        <w:rPr>
          <w:rFonts w:cs="Arial"/>
          <w:lang w:val="ru-RU"/>
        </w:rPr>
        <w:t xml:space="preserve"> участников </w:t>
      </w:r>
      <w:r w:rsidR="00AA5D45" w:rsidRPr="005F7836">
        <w:rPr>
          <w:rFonts w:cs="Arial"/>
          <w:lang w:val="ru-RU"/>
        </w:rPr>
        <w:t>Движения при сохранении уважения к</w:t>
      </w:r>
      <w:r w:rsidRPr="005F7836">
        <w:rPr>
          <w:rFonts w:cs="Arial"/>
          <w:lang w:val="ru-RU"/>
        </w:rPr>
        <w:t xml:space="preserve"> </w:t>
      </w:r>
      <w:r w:rsidR="000365C8" w:rsidRPr="005F7836">
        <w:rPr>
          <w:rFonts w:cs="Arial"/>
          <w:lang w:val="ru-RU"/>
        </w:rPr>
        <w:t xml:space="preserve">мандату и уникальной роли и </w:t>
      </w:r>
      <w:r w:rsidR="00AA5D45" w:rsidRPr="005F7836">
        <w:rPr>
          <w:rFonts w:cs="Arial"/>
          <w:lang w:val="ru-RU"/>
        </w:rPr>
        <w:t>каждого из них</w:t>
      </w:r>
      <w:r w:rsidRPr="005F7836">
        <w:rPr>
          <w:rFonts w:cs="Arial"/>
          <w:lang w:val="ru-RU"/>
        </w:rPr>
        <w:t xml:space="preserve">. </w:t>
      </w:r>
    </w:p>
    <w:p w14:paraId="3278C9A1" w14:textId="6149323D" w:rsidR="002F3CB9" w:rsidRPr="005F7836" w:rsidRDefault="002F3CB9" w:rsidP="003C2484">
      <w:pPr>
        <w:pStyle w:val="CoDNormal"/>
        <w:rPr>
          <w:rFonts w:cs="Arial"/>
          <w:lang w:val="ru-RU"/>
        </w:rPr>
      </w:pPr>
      <w:r w:rsidRPr="005F7836">
        <w:rPr>
          <w:rFonts w:cs="Arial"/>
          <w:lang w:val="ru-RU"/>
        </w:rPr>
        <w:t>На протяжении 2016 и</w:t>
      </w:r>
      <w:r w:rsidR="0002172D" w:rsidRPr="005F7836">
        <w:rPr>
          <w:rFonts w:cs="Arial"/>
          <w:lang w:val="ru-RU"/>
        </w:rPr>
        <w:t xml:space="preserve"> 2017</w:t>
      </w:r>
      <w:r w:rsidRPr="005F7836">
        <w:rPr>
          <w:rFonts w:cs="Arial"/>
          <w:lang w:val="ru-RU"/>
        </w:rPr>
        <w:t xml:space="preserve"> годов </w:t>
      </w:r>
      <w:r w:rsidR="000365C8" w:rsidRPr="005F7836">
        <w:rPr>
          <w:rFonts w:cs="Arial"/>
          <w:lang w:val="ru-RU"/>
        </w:rPr>
        <w:t>участники</w:t>
      </w:r>
      <w:r w:rsidRPr="005F7836">
        <w:rPr>
          <w:rFonts w:cs="Arial"/>
          <w:lang w:val="ru-RU"/>
        </w:rPr>
        <w:t xml:space="preserve"> Движения совместно работал</w:t>
      </w:r>
      <w:r w:rsidR="000365C8" w:rsidRPr="005F7836">
        <w:rPr>
          <w:rFonts w:cs="Arial"/>
          <w:lang w:val="ru-RU"/>
        </w:rPr>
        <w:t xml:space="preserve">и над разработкой концепции </w:t>
      </w:r>
      <w:r w:rsidRPr="005F7836">
        <w:rPr>
          <w:rFonts w:cs="Arial"/>
          <w:lang w:val="ru-RU"/>
        </w:rPr>
        <w:t xml:space="preserve">создания </w:t>
      </w:r>
      <w:r w:rsidR="000365C8" w:rsidRPr="005F7836">
        <w:rPr>
          <w:rFonts w:cs="Arial"/>
          <w:lang w:val="ru-RU"/>
        </w:rPr>
        <w:t>инвестиционного фонда Красного Крест</w:t>
      </w:r>
      <w:r w:rsidRPr="005F7836">
        <w:rPr>
          <w:rFonts w:cs="Arial"/>
          <w:lang w:val="ru-RU"/>
        </w:rPr>
        <w:t>а</w:t>
      </w:r>
      <w:r w:rsidR="000365C8" w:rsidRPr="005F7836">
        <w:rPr>
          <w:rFonts w:cs="Arial"/>
          <w:lang w:val="ru-RU"/>
        </w:rPr>
        <w:t xml:space="preserve"> </w:t>
      </w:r>
      <w:r w:rsidRPr="005F7836">
        <w:rPr>
          <w:rFonts w:cs="Arial"/>
          <w:lang w:val="ru-RU"/>
        </w:rPr>
        <w:t xml:space="preserve">и Красного </w:t>
      </w:r>
      <w:r w:rsidR="000365C8" w:rsidRPr="005F7836">
        <w:rPr>
          <w:rFonts w:cs="Arial"/>
          <w:lang w:val="ru-RU"/>
        </w:rPr>
        <w:t>Полумесяца</w:t>
      </w:r>
      <w:r w:rsidRPr="005F7836">
        <w:rPr>
          <w:rFonts w:cs="Arial"/>
          <w:lang w:val="ru-RU"/>
        </w:rPr>
        <w:t>. Цель создания такого фонд</w:t>
      </w:r>
      <w:r w:rsidR="000365C8" w:rsidRPr="005F7836">
        <w:rPr>
          <w:rFonts w:cs="Arial"/>
          <w:lang w:val="ru-RU"/>
        </w:rPr>
        <w:t>а</w:t>
      </w:r>
      <w:r w:rsidRPr="005F7836">
        <w:rPr>
          <w:rFonts w:cs="Arial"/>
          <w:lang w:val="ru-RU"/>
        </w:rPr>
        <w:t xml:space="preserve"> –</w:t>
      </w:r>
      <w:r w:rsidR="000365C8" w:rsidRPr="005F7836">
        <w:rPr>
          <w:rFonts w:cs="Arial"/>
          <w:lang w:val="ru-RU"/>
        </w:rPr>
        <w:t xml:space="preserve"> укрепление деятельнос</w:t>
      </w:r>
      <w:r w:rsidRPr="005F7836">
        <w:rPr>
          <w:rFonts w:cs="Arial"/>
          <w:lang w:val="ru-RU"/>
        </w:rPr>
        <w:t>т</w:t>
      </w:r>
      <w:r w:rsidR="000365C8" w:rsidRPr="005F7836">
        <w:rPr>
          <w:rFonts w:cs="Arial"/>
          <w:lang w:val="ru-RU"/>
        </w:rPr>
        <w:t>и на ме</w:t>
      </w:r>
      <w:r w:rsidRPr="005F7836">
        <w:rPr>
          <w:rFonts w:cs="Arial"/>
          <w:lang w:val="ru-RU"/>
        </w:rPr>
        <w:t>с</w:t>
      </w:r>
      <w:r w:rsidR="000365C8" w:rsidRPr="005F7836">
        <w:rPr>
          <w:rFonts w:cs="Arial"/>
          <w:lang w:val="ru-RU"/>
        </w:rPr>
        <w:t>т</w:t>
      </w:r>
      <w:r w:rsidR="00516298" w:rsidRPr="005F7836">
        <w:rPr>
          <w:rFonts w:cs="Arial"/>
          <w:lang w:val="ru-RU"/>
        </w:rPr>
        <w:t>ном уровне для организации глобальных операций реагирования в случае возникновения кризисных ситуаций</w:t>
      </w:r>
      <w:r w:rsidRPr="005F7836">
        <w:rPr>
          <w:rFonts w:cs="Arial"/>
          <w:lang w:val="ru-RU"/>
        </w:rPr>
        <w:t xml:space="preserve">. </w:t>
      </w:r>
      <w:r w:rsidR="00516298" w:rsidRPr="005F7836">
        <w:rPr>
          <w:rFonts w:cs="Arial"/>
          <w:lang w:val="ru-RU"/>
        </w:rPr>
        <w:t>Создание фонда – символ</w:t>
      </w:r>
      <w:r w:rsidRPr="005F7836">
        <w:rPr>
          <w:rFonts w:cs="Arial"/>
          <w:lang w:val="ru-RU"/>
        </w:rPr>
        <w:t xml:space="preserve"> признания того</w:t>
      </w:r>
      <w:r w:rsidR="00516298" w:rsidRPr="005F7836">
        <w:rPr>
          <w:rFonts w:cs="Arial"/>
          <w:lang w:val="ru-RU"/>
        </w:rPr>
        <w:t xml:space="preserve">, что помимо существования множества </w:t>
      </w:r>
      <w:r w:rsidRPr="005F7836">
        <w:rPr>
          <w:rFonts w:cs="Arial"/>
          <w:lang w:val="ru-RU"/>
        </w:rPr>
        <w:t>сильны</w:t>
      </w:r>
      <w:r w:rsidR="00516298" w:rsidRPr="005F7836">
        <w:rPr>
          <w:rFonts w:cs="Arial"/>
          <w:lang w:val="ru-RU"/>
        </w:rPr>
        <w:t xml:space="preserve">х и стабильно </w:t>
      </w:r>
      <w:r w:rsidR="00F013AE" w:rsidRPr="005F7836">
        <w:rPr>
          <w:rFonts w:cs="Arial"/>
          <w:lang w:val="ru-RU"/>
        </w:rPr>
        <w:t>работающих национальных обществ</w:t>
      </w:r>
      <w:r w:rsidRPr="005F7836">
        <w:rPr>
          <w:rFonts w:cs="Arial"/>
          <w:lang w:val="ru-RU"/>
        </w:rPr>
        <w:t xml:space="preserve">, </w:t>
      </w:r>
      <w:r w:rsidR="00516298" w:rsidRPr="005F7836">
        <w:rPr>
          <w:rFonts w:cs="Arial"/>
          <w:lang w:val="ru-RU"/>
        </w:rPr>
        <w:t>есть и другие, которые не в полной мере способны использовать свой потенциал</w:t>
      </w:r>
      <w:r w:rsidRPr="005F7836">
        <w:rPr>
          <w:rFonts w:cs="Arial"/>
          <w:lang w:val="ru-RU"/>
        </w:rPr>
        <w:t xml:space="preserve">. </w:t>
      </w:r>
      <w:r w:rsidR="00516298" w:rsidRPr="005F7836">
        <w:rPr>
          <w:rFonts w:cs="Arial"/>
          <w:lang w:val="ru-RU"/>
        </w:rPr>
        <w:t>Для обеспечения того, чтобы национальные общества обрели стабильность и стали признанными независимыми гум</w:t>
      </w:r>
      <w:r w:rsidRPr="005F7836">
        <w:rPr>
          <w:rFonts w:cs="Arial"/>
          <w:lang w:val="ru-RU"/>
        </w:rPr>
        <w:t>а</w:t>
      </w:r>
      <w:r w:rsidR="00516298" w:rsidRPr="005F7836">
        <w:rPr>
          <w:rFonts w:cs="Arial"/>
          <w:lang w:val="ru-RU"/>
        </w:rPr>
        <w:t xml:space="preserve">нитарными организациями, </w:t>
      </w:r>
      <w:r w:rsidRPr="005F7836">
        <w:rPr>
          <w:rFonts w:cs="Arial"/>
          <w:lang w:val="ru-RU"/>
        </w:rPr>
        <w:t xml:space="preserve">которым доверяют их сообщества и которых рассматривают как надежных </w:t>
      </w:r>
      <w:r w:rsidR="00E73C57" w:rsidRPr="005F7836">
        <w:rPr>
          <w:rFonts w:cs="Arial"/>
          <w:lang w:val="ru-RU"/>
        </w:rPr>
        <w:t>партнеров</w:t>
      </w:r>
      <w:r w:rsidR="009C033A" w:rsidRPr="005F7836">
        <w:rPr>
          <w:rFonts w:cs="Arial"/>
          <w:lang w:val="ru-RU"/>
        </w:rPr>
        <w:t xml:space="preserve"> в сфере</w:t>
      </w:r>
      <w:r w:rsidRPr="005F7836">
        <w:rPr>
          <w:rFonts w:cs="Arial"/>
          <w:lang w:val="ru-RU"/>
        </w:rPr>
        <w:t xml:space="preserve"> </w:t>
      </w:r>
      <w:r w:rsidR="00E73C57" w:rsidRPr="005F7836">
        <w:rPr>
          <w:rFonts w:cs="Arial"/>
          <w:lang w:val="ru-RU"/>
        </w:rPr>
        <w:t>осуществления</w:t>
      </w:r>
      <w:r w:rsidR="009C033A" w:rsidRPr="005F7836">
        <w:rPr>
          <w:rFonts w:cs="Arial"/>
          <w:lang w:val="ru-RU"/>
        </w:rPr>
        <w:t xml:space="preserve"> основанной на твердых принципах </w:t>
      </w:r>
      <w:r w:rsidRPr="005F7836">
        <w:rPr>
          <w:rFonts w:cs="Arial"/>
          <w:lang w:val="ru-RU"/>
        </w:rPr>
        <w:t xml:space="preserve">эффективной </w:t>
      </w:r>
      <w:r w:rsidR="009C033A" w:rsidRPr="005F7836">
        <w:rPr>
          <w:rFonts w:cs="Arial"/>
          <w:lang w:val="ru-RU"/>
        </w:rPr>
        <w:t>гуманитарной</w:t>
      </w:r>
      <w:r w:rsidRPr="005F7836">
        <w:rPr>
          <w:rFonts w:cs="Arial"/>
          <w:lang w:val="ru-RU"/>
        </w:rPr>
        <w:t xml:space="preserve"> </w:t>
      </w:r>
      <w:r w:rsidR="009C033A" w:rsidRPr="005F7836">
        <w:rPr>
          <w:rFonts w:cs="Arial"/>
          <w:lang w:val="ru-RU"/>
        </w:rPr>
        <w:t>деятельности</w:t>
      </w:r>
      <w:r w:rsidRPr="005F7836">
        <w:rPr>
          <w:rFonts w:cs="Arial"/>
          <w:lang w:val="ru-RU"/>
        </w:rPr>
        <w:t xml:space="preserve">. Важно, чтобы </w:t>
      </w:r>
      <w:r w:rsidR="009C033A" w:rsidRPr="005F7836">
        <w:rPr>
          <w:rFonts w:cs="Arial"/>
          <w:lang w:val="ru-RU"/>
        </w:rPr>
        <w:t>инициативы</w:t>
      </w:r>
      <w:r w:rsidRPr="005F7836">
        <w:rPr>
          <w:rFonts w:cs="Arial"/>
          <w:lang w:val="ru-RU"/>
        </w:rPr>
        <w:t xml:space="preserve">, </w:t>
      </w:r>
      <w:r w:rsidR="009C033A" w:rsidRPr="005F7836">
        <w:rPr>
          <w:rFonts w:cs="Arial"/>
          <w:lang w:val="ru-RU"/>
        </w:rPr>
        <w:t>создаваемые</w:t>
      </w:r>
      <w:r w:rsidR="00F05B8D" w:rsidRPr="005F7836">
        <w:rPr>
          <w:rFonts w:cs="Arial"/>
          <w:lang w:val="ru-RU"/>
        </w:rPr>
        <w:t xml:space="preserve"> в целях</w:t>
      </w:r>
      <w:r w:rsidRPr="005F7836">
        <w:rPr>
          <w:rFonts w:cs="Arial"/>
          <w:lang w:val="ru-RU"/>
        </w:rPr>
        <w:t xml:space="preserve"> </w:t>
      </w:r>
      <w:r w:rsidR="009C033A" w:rsidRPr="005F7836">
        <w:rPr>
          <w:rFonts w:cs="Arial"/>
          <w:lang w:val="ru-RU"/>
        </w:rPr>
        <w:t>поддержки</w:t>
      </w:r>
      <w:r w:rsidRPr="005F7836">
        <w:rPr>
          <w:rFonts w:cs="Arial"/>
          <w:lang w:val="ru-RU"/>
        </w:rPr>
        <w:t xml:space="preserve"> инвестиций в </w:t>
      </w:r>
      <w:r w:rsidR="009C033A" w:rsidRPr="005F7836">
        <w:rPr>
          <w:rFonts w:cs="Arial"/>
          <w:lang w:val="ru-RU"/>
        </w:rPr>
        <w:t>привлечение</w:t>
      </w:r>
      <w:r w:rsidRPr="005F7836">
        <w:rPr>
          <w:rFonts w:cs="Arial"/>
          <w:lang w:val="ru-RU"/>
        </w:rPr>
        <w:t xml:space="preserve"> </w:t>
      </w:r>
      <w:r w:rsidR="009C033A" w:rsidRPr="005F7836">
        <w:rPr>
          <w:rFonts w:cs="Arial"/>
          <w:lang w:val="ru-RU"/>
        </w:rPr>
        <w:t>средств, соотносились с бо</w:t>
      </w:r>
      <w:r w:rsidRPr="005F7836">
        <w:rPr>
          <w:rFonts w:cs="Arial"/>
          <w:lang w:val="ru-RU"/>
        </w:rPr>
        <w:t>л</w:t>
      </w:r>
      <w:r w:rsidR="009C033A" w:rsidRPr="005F7836">
        <w:rPr>
          <w:rFonts w:cs="Arial"/>
          <w:lang w:val="ru-RU"/>
        </w:rPr>
        <w:t>е</w:t>
      </w:r>
      <w:r w:rsidRPr="005F7836">
        <w:rPr>
          <w:rFonts w:cs="Arial"/>
          <w:lang w:val="ru-RU"/>
        </w:rPr>
        <w:t xml:space="preserve">е широкими целями </w:t>
      </w:r>
      <w:r w:rsidR="004C277E" w:rsidRPr="005F7836">
        <w:rPr>
          <w:rFonts w:cs="Arial"/>
          <w:lang w:val="ru-RU"/>
        </w:rPr>
        <w:t xml:space="preserve">создаваемого инвестиционного фонда </w:t>
      </w:r>
      <w:r w:rsidR="00F05B8D" w:rsidRPr="005F7836">
        <w:rPr>
          <w:rFonts w:cs="Arial"/>
          <w:lang w:val="ru-RU"/>
        </w:rPr>
        <w:t>Красного Крест</w:t>
      </w:r>
      <w:r w:rsidR="004C277E" w:rsidRPr="005F7836">
        <w:rPr>
          <w:rFonts w:cs="Arial"/>
          <w:lang w:val="ru-RU"/>
        </w:rPr>
        <w:t>а</w:t>
      </w:r>
      <w:r w:rsidR="00F05B8D" w:rsidRPr="005F7836">
        <w:rPr>
          <w:rFonts w:cs="Arial"/>
          <w:lang w:val="ru-RU"/>
        </w:rPr>
        <w:t xml:space="preserve"> </w:t>
      </w:r>
      <w:r w:rsidR="004C277E" w:rsidRPr="005F7836">
        <w:rPr>
          <w:rFonts w:cs="Arial"/>
          <w:lang w:val="ru-RU"/>
        </w:rPr>
        <w:t xml:space="preserve">и Красного </w:t>
      </w:r>
      <w:r w:rsidR="00F05B8D" w:rsidRPr="005F7836">
        <w:rPr>
          <w:rFonts w:cs="Arial"/>
          <w:lang w:val="ru-RU"/>
        </w:rPr>
        <w:t>Полумесяца</w:t>
      </w:r>
      <w:r w:rsidR="004C277E" w:rsidRPr="005F7836">
        <w:rPr>
          <w:rFonts w:cs="Arial"/>
          <w:lang w:val="ru-RU"/>
        </w:rPr>
        <w:t>, учит</w:t>
      </w:r>
      <w:r w:rsidR="00F05B8D" w:rsidRPr="005F7836">
        <w:rPr>
          <w:rFonts w:cs="Arial"/>
          <w:lang w:val="ru-RU"/>
        </w:rPr>
        <w:t>ывая, что развитие потенциала в области мобилизации ресурсов и инвестиции в такое развитие –</w:t>
      </w:r>
      <w:r w:rsidR="004C277E" w:rsidRPr="005F7836">
        <w:rPr>
          <w:rFonts w:cs="Arial"/>
          <w:lang w:val="ru-RU"/>
        </w:rPr>
        <w:t xml:space="preserve"> важная часть обеспечения финансовой </w:t>
      </w:r>
      <w:r w:rsidR="00F05B8D" w:rsidRPr="005F7836">
        <w:rPr>
          <w:rFonts w:cs="Arial"/>
          <w:lang w:val="ru-RU"/>
        </w:rPr>
        <w:t>устойчивости национальных обществ</w:t>
      </w:r>
      <w:r w:rsidR="004C277E" w:rsidRPr="005F7836">
        <w:rPr>
          <w:rFonts w:cs="Arial"/>
          <w:lang w:val="ru-RU"/>
        </w:rPr>
        <w:t xml:space="preserve"> в контексте их общего </w:t>
      </w:r>
      <w:r w:rsidR="00F05B8D" w:rsidRPr="005F7836">
        <w:rPr>
          <w:rFonts w:cs="Arial"/>
          <w:lang w:val="ru-RU"/>
        </w:rPr>
        <w:t>инвестиционного</w:t>
      </w:r>
      <w:r w:rsidR="004C277E" w:rsidRPr="005F7836">
        <w:rPr>
          <w:rFonts w:cs="Arial"/>
          <w:lang w:val="ru-RU"/>
        </w:rPr>
        <w:t xml:space="preserve"> развития. </w:t>
      </w:r>
    </w:p>
    <w:p w14:paraId="57818D59" w14:textId="3AD7664E" w:rsidR="007C771A" w:rsidRPr="005F7836" w:rsidRDefault="00F05B8D" w:rsidP="000F65B2">
      <w:pPr>
        <w:pStyle w:val="CoDNormal"/>
        <w:rPr>
          <w:rFonts w:cs="Arial"/>
          <w:lang w:val="ru-RU"/>
        </w:rPr>
      </w:pPr>
      <w:r w:rsidRPr="005F7836">
        <w:rPr>
          <w:rFonts w:cs="Arial"/>
          <w:lang w:val="ru-RU"/>
        </w:rPr>
        <w:t>В рамках</w:t>
      </w:r>
      <w:r w:rsidR="00056E2B" w:rsidRPr="005F7836">
        <w:rPr>
          <w:rFonts w:cs="Arial"/>
          <w:lang w:val="ru-RU"/>
        </w:rPr>
        <w:t xml:space="preserve"> вышеназванных инициатив уча</w:t>
      </w:r>
      <w:r w:rsidR="004C277E" w:rsidRPr="005F7836">
        <w:rPr>
          <w:rFonts w:cs="Arial"/>
          <w:lang w:val="ru-RU"/>
        </w:rPr>
        <w:t>с</w:t>
      </w:r>
      <w:r w:rsidR="00056E2B" w:rsidRPr="005F7836">
        <w:rPr>
          <w:rFonts w:cs="Arial"/>
          <w:lang w:val="ru-RU"/>
        </w:rPr>
        <w:t>т</w:t>
      </w:r>
      <w:r w:rsidR="004C277E" w:rsidRPr="005F7836">
        <w:rPr>
          <w:rFonts w:cs="Arial"/>
          <w:lang w:val="ru-RU"/>
        </w:rPr>
        <w:t xml:space="preserve">ники Движения провели широкие </w:t>
      </w:r>
      <w:r w:rsidR="00056E2B" w:rsidRPr="005F7836">
        <w:rPr>
          <w:rFonts w:cs="Arial"/>
          <w:lang w:val="ru-RU"/>
        </w:rPr>
        <w:t>консультации с национальными обществами</w:t>
      </w:r>
      <w:r w:rsidR="004C277E" w:rsidRPr="005F7836">
        <w:rPr>
          <w:rFonts w:cs="Arial"/>
          <w:lang w:val="ru-RU"/>
        </w:rPr>
        <w:t xml:space="preserve"> для разработки принципов мобилизации ресурсов в масштабах Движения и </w:t>
      </w:r>
      <w:r w:rsidR="00056E2B" w:rsidRPr="005F7836">
        <w:rPr>
          <w:rFonts w:cs="Arial"/>
          <w:lang w:val="ru-RU"/>
        </w:rPr>
        <w:t>соответствующих тематических инициатив. Приоритетное внимание уделяется вопросам более эффе</w:t>
      </w:r>
      <w:r w:rsidR="004C277E" w:rsidRPr="005F7836">
        <w:rPr>
          <w:rFonts w:cs="Arial"/>
          <w:lang w:val="ru-RU"/>
        </w:rPr>
        <w:t>к</w:t>
      </w:r>
      <w:r w:rsidR="00056E2B" w:rsidRPr="005F7836">
        <w:rPr>
          <w:rFonts w:cs="Arial"/>
          <w:lang w:val="ru-RU"/>
        </w:rPr>
        <w:t>тивной координации и развития пот</w:t>
      </w:r>
      <w:r w:rsidR="004C277E" w:rsidRPr="005F7836">
        <w:rPr>
          <w:rFonts w:cs="Arial"/>
          <w:lang w:val="ru-RU"/>
        </w:rPr>
        <w:t>е</w:t>
      </w:r>
      <w:r w:rsidR="00056E2B" w:rsidRPr="005F7836">
        <w:rPr>
          <w:rFonts w:cs="Arial"/>
          <w:lang w:val="ru-RU"/>
        </w:rPr>
        <w:t>нциала национальных обществ, а также инвестициям</w:t>
      </w:r>
      <w:r w:rsidR="004C277E" w:rsidRPr="005F7836">
        <w:rPr>
          <w:rFonts w:cs="Arial"/>
          <w:lang w:val="ru-RU"/>
        </w:rPr>
        <w:t xml:space="preserve"> в такое развитие. Была создана </w:t>
      </w:r>
      <w:r w:rsidR="00056E2B" w:rsidRPr="005F7836">
        <w:rPr>
          <w:rFonts w:cs="Arial"/>
          <w:lang w:val="ru-RU"/>
        </w:rPr>
        <w:t>рабочая</w:t>
      </w:r>
      <w:r w:rsidR="004C277E" w:rsidRPr="005F7836">
        <w:rPr>
          <w:rFonts w:cs="Arial"/>
          <w:lang w:val="ru-RU"/>
        </w:rPr>
        <w:t xml:space="preserve"> груп</w:t>
      </w:r>
      <w:r w:rsidR="004C69E4" w:rsidRPr="005F7836">
        <w:rPr>
          <w:rFonts w:cs="Arial"/>
          <w:lang w:val="ru-RU"/>
        </w:rPr>
        <w:t>па, а также проведены официальные и неофициальные</w:t>
      </w:r>
      <w:r w:rsidR="004C277E" w:rsidRPr="005F7836">
        <w:rPr>
          <w:rFonts w:cs="Arial"/>
          <w:lang w:val="ru-RU"/>
        </w:rPr>
        <w:t xml:space="preserve"> консультации. </w:t>
      </w:r>
      <w:bookmarkEnd w:id="0"/>
    </w:p>
    <w:p w14:paraId="002DD45E" w14:textId="3284E4D2" w:rsidR="004C277E" w:rsidRDefault="00FF176E" w:rsidP="00F02EAF">
      <w:pPr>
        <w:pStyle w:val="CoDNormal"/>
        <w:rPr>
          <w:rFonts w:cs="Arial"/>
          <w:lang w:val="ru-RU"/>
        </w:rPr>
      </w:pPr>
      <w:r w:rsidRPr="005F7836">
        <w:rPr>
          <w:rFonts w:cs="Arial"/>
          <w:lang w:val="ru-RU"/>
        </w:rPr>
        <w:t xml:space="preserve"> </w:t>
      </w:r>
    </w:p>
    <w:p w14:paraId="790ADC23" w14:textId="77777777" w:rsidR="005F7836" w:rsidRDefault="005F7836" w:rsidP="00F02EAF">
      <w:pPr>
        <w:pStyle w:val="CoDNormal"/>
        <w:rPr>
          <w:rFonts w:cs="Arial"/>
          <w:lang w:val="ru-RU"/>
        </w:rPr>
      </w:pPr>
    </w:p>
    <w:p w14:paraId="30AC16B0" w14:textId="77777777" w:rsidR="005F7836" w:rsidRPr="005F7836" w:rsidRDefault="005F7836" w:rsidP="00F02EAF">
      <w:pPr>
        <w:pStyle w:val="CoDNormal"/>
        <w:rPr>
          <w:rFonts w:cs="Arial"/>
          <w:lang w:val="ru-RU"/>
        </w:rPr>
      </w:pPr>
    </w:p>
    <w:tbl>
      <w:tblPr>
        <w:tblStyle w:val="af9"/>
        <w:tblW w:w="0" w:type="auto"/>
        <w:tblLook w:val="04A0" w:firstRow="1" w:lastRow="0" w:firstColumn="1" w:lastColumn="0" w:noHBand="0" w:noVBand="1"/>
      </w:tblPr>
      <w:tblGrid>
        <w:gridCol w:w="1177"/>
        <w:gridCol w:w="1282"/>
        <w:gridCol w:w="1282"/>
        <w:gridCol w:w="1502"/>
        <w:gridCol w:w="1282"/>
        <w:gridCol w:w="1587"/>
        <w:gridCol w:w="1176"/>
      </w:tblGrid>
      <w:tr w:rsidR="004C69E4" w:rsidRPr="005F7836" w14:paraId="4DE4746F" w14:textId="77777777" w:rsidTr="004C277E">
        <w:tc>
          <w:tcPr>
            <w:tcW w:w="1326" w:type="dxa"/>
          </w:tcPr>
          <w:p w14:paraId="6E5F100D" w14:textId="4FF7A57A" w:rsidR="004C277E" w:rsidRPr="005F7836" w:rsidRDefault="004C277E" w:rsidP="00F02EAF">
            <w:pPr>
              <w:pStyle w:val="CoDNormal"/>
              <w:rPr>
                <w:rFonts w:cs="Arial"/>
                <w:lang w:val="ru-RU"/>
              </w:rPr>
            </w:pPr>
            <w:r w:rsidRPr="005F7836">
              <w:rPr>
                <w:rFonts w:cs="Arial"/>
                <w:lang w:val="ru-RU"/>
              </w:rPr>
              <w:lastRenderedPageBreak/>
              <w:t>Декабрь 2015</w:t>
            </w:r>
          </w:p>
          <w:p w14:paraId="0647636B" w14:textId="6A9422BE" w:rsidR="004C277E" w:rsidRPr="005F7836" w:rsidRDefault="004C277E" w:rsidP="00F02EAF">
            <w:pPr>
              <w:pStyle w:val="CoDNormal"/>
              <w:rPr>
                <w:rFonts w:cs="Arial"/>
                <w:lang w:val="ru-RU"/>
              </w:rPr>
            </w:pPr>
            <w:r w:rsidRPr="005F7836">
              <w:rPr>
                <w:rFonts w:cs="Arial"/>
                <w:lang w:val="ru-RU"/>
              </w:rPr>
              <w:t xml:space="preserve">Совет делегатов принял логотип Движения </w:t>
            </w:r>
          </w:p>
        </w:tc>
        <w:tc>
          <w:tcPr>
            <w:tcW w:w="1327" w:type="dxa"/>
          </w:tcPr>
          <w:p w14:paraId="5005C2AA" w14:textId="77777777" w:rsidR="004C277E" w:rsidRPr="005F7836" w:rsidRDefault="004C277E" w:rsidP="00F02EAF">
            <w:pPr>
              <w:pStyle w:val="CoDNormal"/>
              <w:rPr>
                <w:rFonts w:cs="Arial"/>
                <w:lang w:val="ru-RU"/>
              </w:rPr>
            </w:pPr>
            <w:r w:rsidRPr="005F7836">
              <w:rPr>
                <w:rFonts w:cs="Arial"/>
                <w:lang w:val="ru-RU"/>
              </w:rPr>
              <w:t>Июнь 2016</w:t>
            </w:r>
          </w:p>
          <w:p w14:paraId="7BBDA88E" w14:textId="7ED5CD93" w:rsidR="004C277E" w:rsidRPr="005F7836" w:rsidRDefault="004C277E" w:rsidP="00F02EAF">
            <w:pPr>
              <w:pStyle w:val="CoDNormal"/>
              <w:rPr>
                <w:rFonts w:cs="Arial"/>
                <w:lang w:val="ru-RU"/>
              </w:rPr>
            </w:pPr>
            <w:r w:rsidRPr="005F7836">
              <w:rPr>
                <w:rFonts w:cs="Arial"/>
                <w:lang w:val="ru-RU"/>
              </w:rPr>
              <w:t>В Женеве состоялась первая встреча рабочей группы</w:t>
            </w:r>
          </w:p>
        </w:tc>
        <w:tc>
          <w:tcPr>
            <w:tcW w:w="1327" w:type="dxa"/>
          </w:tcPr>
          <w:p w14:paraId="6B3C6EEB" w14:textId="77777777" w:rsidR="004C277E" w:rsidRPr="005F7836" w:rsidRDefault="004C277E" w:rsidP="00F02EAF">
            <w:pPr>
              <w:pStyle w:val="CoDNormal"/>
              <w:rPr>
                <w:rFonts w:cs="Arial"/>
                <w:lang w:val="ru-RU"/>
              </w:rPr>
            </w:pPr>
            <w:r w:rsidRPr="005F7836">
              <w:rPr>
                <w:rFonts w:cs="Arial"/>
                <w:lang w:val="ru-RU"/>
              </w:rPr>
              <w:t>Ноябрь 2016</w:t>
            </w:r>
          </w:p>
          <w:p w14:paraId="35F841A1" w14:textId="22D25228" w:rsidR="004C277E" w:rsidRPr="005F7836" w:rsidRDefault="004C277E" w:rsidP="00F02EAF">
            <w:pPr>
              <w:pStyle w:val="CoDNormal"/>
              <w:rPr>
                <w:rFonts w:cs="Arial"/>
                <w:lang w:val="ru-RU"/>
              </w:rPr>
            </w:pPr>
            <w:r w:rsidRPr="005F7836">
              <w:rPr>
                <w:rFonts w:cs="Arial"/>
                <w:lang w:val="ru-RU"/>
              </w:rPr>
              <w:t>В Женеве состоялась вторая встреча рабочей группы</w:t>
            </w:r>
          </w:p>
        </w:tc>
        <w:tc>
          <w:tcPr>
            <w:tcW w:w="1327" w:type="dxa"/>
          </w:tcPr>
          <w:p w14:paraId="1B598210" w14:textId="77777777" w:rsidR="004C277E" w:rsidRPr="005F7836" w:rsidRDefault="00A5031E" w:rsidP="00F02EAF">
            <w:pPr>
              <w:pStyle w:val="CoDNormal"/>
              <w:rPr>
                <w:rFonts w:cs="Arial"/>
                <w:lang w:val="ru-RU"/>
              </w:rPr>
            </w:pPr>
            <w:r w:rsidRPr="005F7836">
              <w:rPr>
                <w:rFonts w:cs="Arial"/>
                <w:lang w:val="ru-RU"/>
              </w:rPr>
              <w:t>Январь-Май 2017</w:t>
            </w:r>
          </w:p>
          <w:p w14:paraId="0FFA82A6" w14:textId="3D2B037A" w:rsidR="00A5031E" w:rsidRPr="005F7836" w:rsidRDefault="004C69E4" w:rsidP="00F02EAF">
            <w:pPr>
              <w:pStyle w:val="CoDNormal"/>
              <w:rPr>
                <w:rFonts w:cs="Arial"/>
                <w:lang w:val="ru-RU"/>
              </w:rPr>
            </w:pPr>
            <w:r w:rsidRPr="005F7836">
              <w:rPr>
                <w:rFonts w:cs="Arial"/>
                <w:lang w:val="ru-RU"/>
              </w:rPr>
              <w:t>Проведение опроса</w:t>
            </w:r>
            <w:r w:rsidR="00A5031E" w:rsidRPr="005F7836">
              <w:rPr>
                <w:rFonts w:cs="Arial"/>
                <w:lang w:val="ru-RU"/>
              </w:rPr>
              <w:t>, а также консультаций по вопросам лидерства и привлечения средств</w:t>
            </w:r>
          </w:p>
        </w:tc>
        <w:tc>
          <w:tcPr>
            <w:tcW w:w="1327" w:type="dxa"/>
          </w:tcPr>
          <w:p w14:paraId="31EC950A" w14:textId="77777777" w:rsidR="004C277E" w:rsidRPr="005F7836" w:rsidRDefault="00A5031E" w:rsidP="00F02EAF">
            <w:pPr>
              <w:pStyle w:val="CoDNormal"/>
              <w:rPr>
                <w:rFonts w:cs="Arial"/>
                <w:lang w:val="ru-RU"/>
              </w:rPr>
            </w:pPr>
            <w:r w:rsidRPr="005F7836">
              <w:rPr>
                <w:rFonts w:cs="Arial"/>
                <w:lang w:val="ru-RU"/>
              </w:rPr>
              <w:t>Апрель 2017 года</w:t>
            </w:r>
          </w:p>
          <w:p w14:paraId="1872E6E2" w14:textId="26BFD310" w:rsidR="00A5031E" w:rsidRPr="005F7836" w:rsidRDefault="00A5031E" w:rsidP="00F02EAF">
            <w:pPr>
              <w:pStyle w:val="CoDNormal"/>
              <w:rPr>
                <w:rFonts w:cs="Arial"/>
                <w:lang w:val="ru-RU"/>
              </w:rPr>
            </w:pPr>
            <w:r w:rsidRPr="005F7836">
              <w:rPr>
                <w:rFonts w:cs="Arial"/>
                <w:lang w:val="ru-RU"/>
              </w:rPr>
              <w:t>В Женеве состоялась третья встреча рабочей группы</w:t>
            </w:r>
          </w:p>
        </w:tc>
        <w:tc>
          <w:tcPr>
            <w:tcW w:w="1327" w:type="dxa"/>
          </w:tcPr>
          <w:p w14:paraId="2810C9F5" w14:textId="77777777" w:rsidR="004C277E" w:rsidRPr="005F7836" w:rsidRDefault="00A5031E" w:rsidP="00F02EAF">
            <w:pPr>
              <w:pStyle w:val="CoDNormal"/>
              <w:rPr>
                <w:rFonts w:cs="Arial"/>
                <w:lang w:val="ru-RU"/>
              </w:rPr>
            </w:pPr>
            <w:r w:rsidRPr="005F7836">
              <w:rPr>
                <w:rFonts w:cs="Arial"/>
                <w:lang w:val="ru-RU"/>
              </w:rPr>
              <w:t>Май-Сентябрь 2017 года</w:t>
            </w:r>
          </w:p>
          <w:p w14:paraId="0B103802" w14:textId="5420895C" w:rsidR="00A5031E" w:rsidRPr="005F7836" w:rsidRDefault="004C69E4" w:rsidP="004C69E4">
            <w:pPr>
              <w:pStyle w:val="CoDNormal"/>
              <w:rPr>
                <w:rFonts w:cs="Arial"/>
                <w:lang w:val="ru-RU"/>
              </w:rPr>
            </w:pPr>
            <w:r w:rsidRPr="005F7836">
              <w:rPr>
                <w:rFonts w:cs="Arial"/>
                <w:lang w:val="ru-RU"/>
              </w:rPr>
              <w:t xml:space="preserve">Официальные </w:t>
            </w:r>
            <w:r w:rsidR="00A5031E" w:rsidRPr="005F7836">
              <w:rPr>
                <w:rFonts w:cs="Arial"/>
                <w:lang w:val="ru-RU"/>
              </w:rPr>
              <w:t>консультации</w:t>
            </w:r>
          </w:p>
        </w:tc>
        <w:tc>
          <w:tcPr>
            <w:tcW w:w="1327" w:type="dxa"/>
          </w:tcPr>
          <w:p w14:paraId="532D3734" w14:textId="77777777" w:rsidR="004C277E" w:rsidRPr="005F7836" w:rsidRDefault="00A5031E" w:rsidP="00F02EAF">
            <w:pPr>
              <w:pStyle w:val="CoDNormal"/>
              <w:rPr>
                <w:rFonts w:cs="Arial"/>
                <w:lang w:val="ru-RU"/>
              </w:rPr>
            </w:pPr>
            <w:r w:rsidRPr="005F7836">
              <w:rPr>
                <w:rFonts w:cs="Arial"/>
                <w:lang w:val="ru-RU"/>
              </w:rPr>
              <w:t>Ноябрь 2017 года</w:t>
            </w:r>
          </w:p>
          <w:p w14:paraId="08415848" w14:textId="39E80872" w:rsidR="00A5031E" w:rsidRPr="005F7836" w:rsidRDefault="00A5031E" w:rsidP="00F02EAF">
            <w:pPr>
              <w:pStyle w:val="CoDNormal"/>
              <w:rPr>
                <w:rFonts w:cs="Arial"/>
                <w:lang w:val="ru-RU"/>
              </w:rPr>
            </w:pPr>
            <w:r w:rsidRPr="005F7836">
              <w:rPr>
                <w:rFonts w:cs="Arial"/>
                <w:lang w:val="ru-RU"/>
              </w:rPr>
              <w:t>Совет делегатов</w:t>
            </w:r>
          </w:p>
        </w:tc>
      </w:tr>
    </w:tbl>
    <w:p w14:paraId="6986066C" w14:textId="0BF09092" w:rsidR="00A5031E" w:rsidRPr="005F7836" w:rsidRDefault="00A5031E" w:rsidP="00F02EAF">
      <w:pPr>
        <w:pStyle w:val="CoDNormal"/>
        <w:rPr>
          <w:rFonts w:cs="Arial"/>
          <w:lang w:val="ru-RU"/>
        </w:rPr>
      </w:pPr>
      <w:r w:rsidRPr="005F7836">
        <w:rPr>
          <w:rFonts w:cs="Arial"/>
          <w:lang w:val="ru-RU"/>
        </w:rPr>
        <w:t>Приглашение участвовать в работе Рабочей группы было напр</w:t>
      </w:r>
      <w:r w:rsidR="004C69E4" w:rsidRPr="005F7836">
        <w:rPr>
          <w:rFonts w:cs="Arial"/>
          <w:lang w:val="ru-RU"/>
        </w:rPr>
        <w:t>ав</w:t>
      </w:r>
      <w:r w:rsidR="00EF6373" w:rsidRPr="005F7836">
        <w:rPr>
          <w:rFonts w:cs="Arial"/>
          <w:lang w:val="ru-RU"/>
        </w:rPr>
        <w:t>лено всем руководителям национальных обществ 15 апреля 2016 года. Первая встреча состоялась</w:t>
      </w:r>
      <w:r w:rsidRPr="005F7836">
        <w:rPr>
          <w:rFonts w:cs="Arial"/>
          <w:lang w:val="ru-RU"/>
        </w:rPr>
        <w:t xml:space="preserve"> 8 июня 2016 года, вторая – в ноябре 2016 года, и третья – в апреле 20</w:t>
      </w:r>
      <w:r w:rsidR="00EF6373" w:rsidRPr="005F7836">
        <w:rPr>
          <w:rFonts w:cs="Arial"/>
          <w:lang w:val="ru-RU"/>
        </w:rPr>
        <w:t>17 года. МККК, МФОККиКП и 17 из 33 национальных обществ, являющихся членами группы,</w:t>
      </w:r>
      <w:r w:rsidR="006B19F3" w:rsidRPr="005F7836">
        <w:rPr>
          <w:rStyle w:val="af4"/>
          <w:rFonts w:cs="Arial"/>
          <w:bCs/>
          <w:lang w:val="ru-RU"/>
        </w:rPr>
        <w:footnoteReference w:id="3"/>
      </w:r>
      <w:r w:rsidR="0063451D" w:rsidRPr="005F7836">
        <w:rPr>
          <w:rFonts w:cs="Arial"/>
          <w:lang w:val="ru-RU"/>
        </w:rPr>
        <w:t xml:space="preserve"> </w:t>
      </w:r>
      <w:r w:rsidR="00EF6373" w:rsidRPr="005F7836">
        <w:rPr>
          <w:rFonts w:cs="Arial"/>
          <w:lang w:val="ru-RU"/>
        </w:rPr>
        <w:t>приняли</w:t>
      </w:r>
      <w:r w:rsidRPr="005F7836">
        <w:rPr>
          <w:rFonts w:cs="Arial"/>
          <w:lang w:val="ru-RU"/>
        </w:rPr>
        <w:t xml:space="preserve"> </w:t>
      </w:r>
      <w:r w:rsidR="00EF6373" w:rsidRPr="005F7836">
        <w:rPr>
          <w:rFonts w:cs="Arial"/>
          <w:lang w:val="ru-RU"/>
        </w:rPr>
        <w:t>участие в очных</w:t>
      </w:r>
      <w:r w:rsidRPr="005F7836">
        <w:rPr>
          <w:rFonts w:cs="Arial"/>
          <w:lang w:val="ru-RU"/>
        </w:rPr>
        <w:t xml:space="preserve"> встреч</w:t>
      </w:r>
      <w:r w:rsidR="00EF6373" w:rsidRPr="005F7836">
        <w:rPr>
          <w:rFonts w:cs="Arial"/>
          <w:lang w:val="ru-RU"/>
        </w:rPr>
        <w:t>ах.</w:t>
      </w:r>
      <w:r w:rsidRPr="005F7836">
        <w:rPr>
          <w:rFonts w:cs="Arial"/>
          <w:lang w:val="ru-RU"/>
        </w:rPr>
        <w:t xml:space="preserve"> После каждой встреч</w:t>
      </w:r>
      <w:r w:rsidR="00EF6373" w:rsidRPr="005F7836">
        <w:rPr>
          <w:rFonts w:cs="Arial"/>
          <w:lang w:val="ru-RU"/>
        </w:rPr>
        <w:t>и</w:t>
      </w:r>
      <w:r w:rsidRPr="005F7836">
        <w:rPr>
          <w:rFonts w:cs="Arial"/>
          <w:lang w:val="ru-RU"/>
        </w:rPr>
        <w:t xml:space="preserve"> Рабочей группы </w:t>
      </w:r>
      <w:r w:rsidR="00EF6373" w:rsidRPr="005F7836">
        <w:rPr>
          <w:rFonts w:cs="Arial"/>
          <w:lang w:val="ru-RU"/>
        </w:rPr>
        <w:t xml:space="preserve">также </w:t>
      </w:r>
      <w:r w:rsidRPr="005F7836">
        <w:rPr>
          <w:rFonts w:cs="Arial"/>
          <w:lang w:val="ru-RU"/>
        </w:rPr>
        <w:t>п</w:t>
      </w:r>
      <w:r w:rsidR="00EF6373" w:rsidRPr="005F7836">
        <w:rPr>
          <w:rFonts w:cs="Arial"/>
          <w:lang w:val="ru-RU"/>
        </w:rPr>
        <w:t>р</w:t>
      </w:r>
      <w:r w:rsidRPr="005F7836">
        <w:rPr>
          <w:rFonts w:cs="Arial"/>
          <w:lang w:val="ru-RU"/>
        </w:rPr>
        <w:t>ов</w:t>
      </w:r>
      <w:r w:rsidR="00EF6373" w:rsidRPr="005F7836">
        <w:rPr>
          <w:rFonts w:cs="Arial"/>
          <w:lang w:val="ru-RU"/>
        </w:rPr>
        <w:t>о</w:t>
      </w:r>
      <w:r w:rsidRPr="005F7836">
        <w:rPr>
          <w:rFonts w:cs="Arial"/>
          <w:lang w:val="ru-RU"/>
        </w:rPr>
        <w:t xml:space="preserve">дились </w:t>
      </w:r>
      <w:r w:rsidR="00EF6373" w:rsidRPr="005F7836">
        <w:rPr>
          <w:rFonts w:cs="Arial"/>
          <w:lang w:val="ru-RU"/>
        </w:rPr>
        <w:t>телеконференции</w:t>
      </w:r>
      <w:r w:rsidRPr="005F7836">
        <w:rPr>
          <w:rFonts w:cs="Arial"/>
          <w:lang w:val="ru-RU"/>
        </w:rPr>
        <w:t>, чтобы дать возможность тем, кто не смог приехать на очную встречу</w:t>
      </w:r>
      <w:r w:rsidR="00EF6373" w:rsidRPr="005F7836">
        <w:rPr>
          <w:rFonts w:cs="Arial"/>
          <w:lang w:val="ru-RU"/>
        </w:rPr>
        <w:t>,</w:t>
      </w:r>
      <w:r w:rsidRPr="005F7836">
        <w:rPr>
          <w:rFonts w:cs="Arial"/>
          <w:lang w:val="ru-RU"/>
        </w:rPr>
        <w:t xml:space="preserve"> получит</w:t>
      </w:r>
      <w:r w:rsidR="00EF6373" w:rsidRPr="005F7836">
        <w:rPr>
          <w:rFonts w:cs="Arial"/>
          <w:lang w:val="ru-RU"/>
        </w:rPr>
        <w:t>ь</w:t>
      </w:r>
      <w:r w:rsidRPr="005F7836">
        <w:rPr>
          <w:rFonts w:cs="Arial"/>
          <w:lang w:val="ru-RU"/>
        </w:rPr>
        <w:t xml:space="preserve"> информацию о принятых решениях и </w:t>
      </w:r>
      <w:r w:rsidR="0080002E" w:rsidRPr="005F7836">
        <w:rPr>
          <w:rFonts w:cs="Arial"/>
          <w:lang w:val="ru-RU"/>
        </w:rPr>
        <w:t xml:space="preserve">состоявшихся </w:t>
      </w:r>
      <w:r w:rsidRPr="005F7836">
        <w:rPr>
          <w:rFonts w:cs="Arial"/>
          <w:lang w:val="ru-RU"/>
        </w:rPr>
        <w:t xml:space="preserve">обсуждениях и также внести свой вклад в общее дело. </w:t>
      </w:r>
    </w:p>
    <w:p w14:paraId="5964126D" w14:textId="78B43C78" w:rsidR="00F455BF" w:rsidRPr="005F7836" w:rsidRDefault="00A5031E" w:rsidP="00F02EAF">
      <w:pPr>
        <w:pStyle w:val="CoDNormal"/>
        <w:rPr>
          <w:rFonts w:cs="Arial"/>
          <w:lang w:val="ru-RU"/>
        </w:rPr>
      </w:pPr>
      <w:r w:rsidRPr="005F7836">
        <w:rPr>
          <w:rFonts w:cs="Arial"/>
          <w:lang w:val="ru-RU"/>
        </w:rPr>
        <w:t>Группа в приоритетном порядке пыталась</w:t>
      </w:r>
      <w:r w:rsidR="00F455BF" w:rsidRPr="005F7836">
        <w:rPr>
          <w:rFonts w:cs="Arial"/>
          <w:lang w:val="ru-RU"/>
        </w:rPr>
        <w:t>:</w:t>
      </w:r>
    </w:p>
    <w:p w14:paraId="6F23CCEB" w14:textId="6A3E3137" w:rsidR="00F455BF" w:rsidRPr="005F7836" w:rsidRDefault="0080002E" w:rsidP="00F02EAF">
      <w:pPr>
        <w:pStyle w:val="CoDBullet"/>
        <w:rPr>
          <w:rFonts w:cs="Arial"/>
          <w:lang w:val="ru-RU"/>
        </w:rPr>
      </w:pPr>
      <w:r w:rsidRPr="005F7836">
        <w:rPr>
          <w:rFonts w:cs="Arial"/>
          <w:lang w:val="ru-RU"/>
        </w:rPr>
        <w:t>Определить миссию и в</w:t>
      </w:r>
      <w:r w:rsidR="00A5031E" w:rsidRPr="005F7836">
        <w:rPr>
          <w:rFonts w:cs="Arial"/>
          <w:lang w:val="ru-RU"/>
        </w:rPr>
        <w:t>ыработать общую концепцию для проведения работ</w:t>
      </w:r>
      <w:r w:rsidRPr="005F7836">
        <w:rPr>
          <w:rFonts w:cs="Arial"/>
          <w:lang w:val="ru-RU"/>
        </w:rPr>
        <w:t>ы по привлечению</w:t>
      </w:r>
      <w:r w:rsidR="00A5031E" w:rsidRPr="005F7836">
        <w:rPr>
          <w:rFonts w:cs="Arial"/>
          <w:lang w:val="ru-RU"/>
        </w:rPr>
        <w:t xml:space="preserve"> средств в масштабах всего Движения</w:t>
      </w:r>
      <w:r w:rsidR="00516DF4" w:rsidRPr="005F7836">
        <w:rPr>
          <w:rFonts w:cs="Arial"/>
          <w:lang w:val="ru-RU"/>
        </w:rPr>
        <w:t>;</w:t>
      </w:r>
    </w:p>
    <w:p w14:paraId="4B7944BD" w14:textId="258B8274" w:rsidR="00F455BF" w:rsidRPr="005F7836" w:rsidRDefault="00A5031E" w:rsidP="00F02EAF">
      <w:pPr>
        <w:pStyle w:val="CoDBullet"/>
        <w:rPr>
          <w:rFonts w:cs="Arial"/>
          <w:lang w:val="ru-RU"/>
        </w:rPr>
      </w:pPr>
      <w:r w:rsidRPr="005F7836">
        <w:rPr>
          <w:rFonts w:cs="Arial"/>
          <w:lang w:val="ru-RU"/>
        </w:rPr>
        <w:t xml:space="preserve">Разработать принципы </w:t>
      </w:r>
      <w:r w:rsidR="0080002E" w:rsidRPr="005F7836">
        <w:rPr>
          <w:rFonts w:cs="Arial"/>
          <w:lang w:val="ru-RU"/>
        </w:rPr>
        <w:t>мобилизации</w:t>
      </w:r>
      <w:r w:rsidRPr="005F7836">
        <w:rPr>
          <w:rFonts w:cs="Arial"/>
          <w:lang w:val="ru-RU"/>
        </w:rPr>
        <w:t xml:space="preserve"> ресурсов для всех </w:t>
      </w:r>
      <w:r w:rsidR="0080002E" w:rsidRPr="005F7836">
        <w:rPr>
          <w:rFonts w:cs="Arial"/>
          <w:lang w:val="ru-RU"/>
        </w:rPr>
        <w:t>участников</w:t>
      </w:r>
      <w:r w:rsidRPr="005F7836">
        <w:rPr>
          <w:rFonts w:cs="Arial"/>
          <w:lang w:val="ru-RU"/>
        </w:rPr>
        <w:t xml:space="preserve"> Движения</w:t>
      </w:r>
      <w:r w:rsidR="00516DF4" w:rsidRPr="005F7836">
        <w:rPr>
          <w:rFonts w:cs="Arial"/>
          <w:lang w:val="ru-RU"/>
        </w:rPr>
        <w:t>;</w:t>
      </w:r>
    </w:p>
    <w:p w14:paraId="064ED9C2" w14:textId="3ABA2A32" w:rsidR="00F455BF" w:rsidRPr="005F7836" w:rsidRDefault="00A5031E" w:rsidP="00F02EAF">
      <w:pPr>
        <w:pStyle w:val="CoDBullet"/>
        <w:rPr>
          <w:rFonts w:cs="Arial"/>
          <w:lang w:val="ru-RU"/>
        </w:rPr>
      </w:pPr>
      <w:r w:rsidRPr="005F7836">
        <w:rPr>
          <w:rFonts w:cs="Arial"/>
          <w:lang w:val="ru-RU"/>
        </w:rPr>
        <w:t>Предложить инициативы по развитию потенциала в масштабах всего Движения</w:t>
      </w:r>
      <w:r w:rsidR="00AC6936" w:rsidRPr="005F7836">
        <w:rPr>
          <w:rFonts w:cs="Arial"/>
          <w:lang w:val="ru-RU"/>
        </w:rPr>
        <w:t>:</w:t>
      </w:r>
      <w:r w:rsidR="00C26D81" w:rsidRPr="005F7836">
        <w:rPr>
          <w:rFonts w:cs="Arial"/>
          <w:lang w:val="ru-RU"/>
        </w:rPr>
        <w:t xml:space="preserve"> новые области инвестиций</w:t>
      </w:r>
      <w:r w:rsidRPr="005F7836">
        <w:rPr>
          <w:rFonts w:cs="Arial"/>
          <w:lang w:val="ru-RU"/>
        </w:rPr>
        <w:t xml:space="preserve"> и инновационные подх</w:t>
      </w:r>
      <w:r w:rsidR="00C26D81" w:rsidRPr="005F7836">
        <w:rPr>
          <w:rFonts w:cs="Arial"/>
          <w:lang w:val="ru-RU"/>
        </w:rPr>
        <w:t xml:space="preserve">оды для расширения потенциала в области мобилизации ресурсов для национальных обществ на </w:t>
      </w:r>
      <w:r w:rsidRPr="005F7836">
        <w:rPr>
          <w:rFonts w:cs="Arial"/>
          <w:lang w:val="ru-RU"/>
        </w:rPr>
        <w:t>мест</w:t>
      </w:r>
      <w:r w:rsidR="00C26D81" w:rsidRPr="005F7836">
        <w:rPr>
          <w:rFonts w:cs="Arial"/>
          <w:lang w:val="ru-RU"/>
        </w:rPr>
        <w:t>н</w:t>
      </w:r>
      <w:r w:rsidRPr="005F7836">
        <w:rPr>
          <w:rFonts w:cs="Arial"/>
          <w:lang w:val="ru-RU"/>
        </w:rPr>
        <w:t>ых ры</w:t>
      </w:r>
      <w:r w:rsidR="00C26D81" w:rsidRPr="005F7836">
        <w:rPr>
          <w:rFonts w:cs="Arial"/>
          <w:lang w:val="ru-RU"/>
        </w:rPr>
        <w:t>н</w:t>
      </w:r>
      <w:r w:rsidRPr="005F7836">
        <w:rPr>
          <w:rFonts w:cs="Arial"/>
          <w:lang w:val="ru-RU"/>
        </w:rPr>
        <w:t xml:space="preserve">ках (дополняя продолжающуюся работу над </w:t>
      </w:r>
      <w:r w:rsidR="00C26D81" w:rsidRPr="005F7836">
        <w:rPr>
          <w:rFonts w:cs="Arial"/>
          <w:lang w:val="ru-RU"/>
        </w:rPr>
        <w:t>разработкой</w:t>
      </w:r>
      <w:r w:rsidRPr="005F7836">
        <w:rPr>
          <w:rFonts w:cs="Arial"/>
          <w:lang w:val="ru-RU"/>
        </w:rPr>
        <w:t xml:space="preserve"> стратегии</w:t>
      </w:r>
      <w:r w:rsidR="00C26D81" w:rsidRPr="005F7836">
        <w:rPr>
          <w:rFonts w:cs="Arial"/>
          <w:lang w:val="ru-RU"/>
        </w:rPr>
        <w:t xml:space="preserve"> мобилизации ресурсов для всех участников</w:t>
      </w:r>
      <w:r w:rsidRPr="005F7836">
        <w:rPr>
          <w:rFonts w:cs="Arial"/>
          <w:lang w:val="ru-RU"/>
        </w:rPr>
        <w:t xml:space="preserve"> Движения</w:t>
      </w:r>
      <w:r w:rsidR="00B4765A" w:rsidRPr="005F7836">
        <w:rPr>
          <w:rFonts w:cs="Arial"/>
          <w:lang w:val="ru-RU"/>
        </w:rPr>
        <w:t>)</w:t>
      </w:r>
      <w:r w:rsidR="00974C33" w:rsidRPr="005F7836">
        <w:rPr>
          <w:rFonts w:cs="Arial"/>
          <w:lang w:val="ru-RU"/>
        </w:rPr>
        <w:t>.</w:t>
      </w:r>
    </w:p>
    <w:p w14:paraId="40401737" w14:textId="0244104C" w:rsidR="00A46042" w:rsidRPr="005F7836" w:rsidRDefault="00A5031E" w:rsidP="00F02EAF">
      <w:pPr>
        <w:pStyle w:val="CoDHeading2"/>
        <w:rPr>
          <w:rFonts w:cs="Arial"/>
          <w:lang w:val="ru-RU"/>
        </w:rPr>
      </w:pPr>
      <w:r w:rsidRPr="005F7836">
        <w:rPr>
          <w:rFonts w:cs="Arial"/>
          <w:lang w:val="ru-RU"/>
        </w:rPr>
        <w:t>технические консультации</w:t>
      </w:r>
    </w:p>
    <w:p w14:paraId="0831D75B" w14:textId="2FC7C4BE" w:rsidR="00A5031E" w:rsidRPr="005F7836" w:rsidRDefault="00C26D81" w:rsidP="00F02EAF">
      <w:pPr>
        <w:pStyle w:val="CoDNormal"/>
        <w:rPr>
          <w:rFonts w:cs="Arial"/>
          <w:lang w:val="ru-RU"/>
        </w:rPr>
      </w:pPr>
      <w:r w:rsidRPr="005F7836">
        <w:rPr>
          <w:rFonts w:cs="Arial"/>
          <w:lang w:val="ru-RU"/>
        </w:rPr>
        <w:t>В технических консультациях приняли участие руководители национальных обществ и эксперты по привлечению средств.</w:t>
      </w:r>
    </w:p>
    <w:p w14:paraId="20B50791" w14:textId="70F956B6" w:rsidR="009779CF" w:rsidRPr="005F7836" w:rsidRDefault="00C26D81" w:rsidP="00F02EAF">
      <w:pPr>
        <w:pStyle w:val="CoDNormal"/>
        <w:rPr>
          <w:rFonts w:cs="Arial"/>
          <w:lang w:val="ru-RU"/>
        </w:rPr>
      </w:pPr>
      <w:r w:rsidRPr="005F7836">
        <w:rPr>
          <w:rFonts w:cs="Arial"/>
          <w:lang w:val="ru-RU"/>
        </w:rPr>
        <w:t>Для участия в технических консультациях были приглашены</w:t>
      </w:r>
      <w:r w:rsidR="009779CF" w:rsidRPr="005F7836">
        <w:rPr>
          <w:rFonts w:cs="Arial"/>
          <w:lang w:val="ru-RU"/>
        </w:rPr>
        <w:t xml:space="preserve"> </w:t>
      </w:r>
      <w:r w:rsidRPr="005F7836">
        <w:rPr>
          <w:rFonts w:cs="Arial"/>
          <w:lang w:val="ru-RU"/>
        </w:rPr>
        <w:t>руководители и эксперты национальных обществ</w:t>
      </w:r>
      <w:r w:rsidR="009779CF" w:rsidRPr="005F7836">
        <w:rPr>
          <w:rFonts w:cs="Arial"/>
          <w:lang w:val="ru-RU"/>
        </w:rPr>
        <w:t>, МКК</w:t>
      </w:r>
      <w:r w:rsidRPr="005F7836">
        <w:rPr>
          <w:rFonts w:cs="Arial"/>
          <w:lang w:val="ru-RU"/>
        </w:rPr>
        <w:t>К</w:t>
      </w:r>
      <w:r w:rsidR="009779CF" w:rsidRPr="005F7836">
        <w:rPr>
          <w:rFonts w:cs="Arial"/>
          <w:lang w:val="ru-RU"/>
        </w:rPr>
        <w:t xml:space="preserve"> и</w:t>
      </w:r>
      <w:r w:rsidRPr="005F7836">
        <w:rPr>
          <w:rFonts w:cs="Arial"/>
          <w:lang w:val="ru-RU"/>
        </w:rPr>
        <w:t xml:space="preserve"> МФОККиКП</w:t>
      </w:r>
      <w:r w:rsidR="009779CF" w:rsidRPr="005F7836">
        <w:rPr>
          <w:rFonts w:cs="Arial"/>
          <w:lang w:val="ru-RU"/>
        </w:rPr>
        <w:t xml:space="preserve"> для обеспечени</w:t>
      </w:r>
      <w:r w:rsidRPr="005F7836">
        <w:rPr>
          <w:rFonts w:cs="Arial"/>
          <w:lang w:val="ru-RU"/>
        </w:rPr>
        <w:t>я широкого представительства  и определения содержательных аспектов концепции и принципов Движения, а также новых инициатив по развитию потенциала. По итогам консультаций Рабочей группой были предложены следующие</w:t>
      </w:r>
      <w:r w:rsidR="009779CF" w:rsidRPr="005F7836">
        <w:rPr>
          <w:rFonts w:cs="Arial"/>
          <w:lang w:val="ru-RU"/>
        </w:rPr>
        <w:t xml:space="preserve"> и</w:t>
      </w:r>
      <w:r w:rsidRPr="005F7836">
        <w:rPr>
          <w:rFonts w:cs="Arial"/>
          <w:lang w:val="ru-RU"/>
        </w:rPr>
        <w:t>нициативы</w:t>
      </w:r>
      <w:r w:rsidR="009779CF" w:rsidRPr="005F7836">
        <w:rPr>
          <w:rFonts w:cs="Arial"/>
          <w:lang w:val="ru-RU"/>
        </w:rPr>
        <w:t xml:space="preserve">: </w:t>
      </w:r>
    </w:p>
    <w:p w14:paraId="3CB1CA62" w14:textId="77777777" w:rsidR="00D45C7F" w:rsidRPr="005F7836" w:rsidRDefault="00D45C7F" w:rsidP="00D45C7F">
      <w:pPr>
        <w:pStyle w:val="CoDBullet"/>
        <w:rPr>
          <w:rFonts w:cs="Arial"/>
          <w:lang w:val="ru-RU"/>
        </w:rPr>
      </w:pPr>
      <w:r w:rsidRPr="005F7836">
        <w:rPr>
          <w:rFonts w:cs="Arial"/>
          <w:b/>
          <w:lang w:val="ru-RU"/>
        </w:rPr>
        <w:t>Создание виртуальной площадки для привлечения средств</w:t>
      </w:r>
      <w:r w:rsidRPr="005F7836">
        <w:rPr>
          <w:rFonts w:cs="Arial"/>
          <w:lang w:val="ru-RU"/>
        </w:rPr>
        <w:t xml:space="preserve"> в целях координации инициатив по развитию потенциала и совершенствованию </w:t>
      </w:r>
      <w:r w:rsidRPr="005F7836">
        <w:rPr>
          <w:rFonts w:cs="Arial"/>
          <w:lang w:val="ru-RU"/>
        </w:rPr>
        <w:lastRenderedPageBreak/>
        <w:t>системы координации действий внутри Движения, обмена примерами передового опыта в области привлечения средств, а также организации и координации процесса обучения и подготовки персонала по привлечению средств внутри Движения;</w:t>
      </w:r>
    </w:p>
    <w:p w14:paraId="0BADD9FC" w14:textId="77777777" w:rsidR="00D45C7F" w:rsidRPr="005F7836" w:rsidRDefault="00D45C7F" w:rsidP="00D45C7F">
      <w:pPr>
        <w:pStyle w:val="CoDBullet"/>
        <w:rPr>
          <w:rFonts w:cs="Arial"/>
          <w:lang w:val="ru-RU"/>
        </w:rPr>
      </w:pPr>
      <w:r w:rsidRPr="005F7836">
        <w:rPr>
          <w:rFonts w:cs="Arial"/>
          <w:b/>
          <w:lang w:val="ru-RU"/>
        </w:rPr>
        <w:t xml:space="preserve">Совершенствование системы доступа Движения к информации об эффективных методах привлечения средств и ее анализ </w:t>
      </w:r>
      <w:r w:rsidRPr="005F7836">
        <w:rPr>
          <w:rFonts w:cs="Arial"/>
          <w:lang w:val="ru-RU"/>
        </w:rPr>
        <w:t>в целях поддержки стратегического подхода к принятию решений в области мобилизации ресурсов;</w:t>
      </w:r>
    </w:p>
    <w:p w14:paraId="27905DDB" w14:textId="77777777" w:rsidR="00D45C7F" w:rsidRPr="005F7836" w:rsidRDefault="00D45C7F" w:rsidP="00D45C7F">
      <w:pPr>
        <w:pStyle w:val="CoDBullet"/>
        <w:rPr>
          <w:rFonts w:cs="Arial"/>
          <w:lang w:val="ru-RU"/>
        </w:rPr>
      </w:pPr>
      <w:r w:rsidRPr="005F7836">
        <w:rPr>
          <w:rFonts w:cs="Arial"/>
          <w:b/>
          <w:lang w:val="ru-RU"/>
        </w:rPr>
        <w:t xml:space="preserve">Создание инвестиционного фонда </w:t>
      </w:r>
      <w:r w:rsidRPr="005F7836">
        <w:rPr>
          <w:rFonts w:cs="Arial"/>
          <w:lang w:val="ru-RU"/>
        </w:rPr>
        <w:t>в целях содействия росту и развитию в области</w:t>
      </w:r>
      <w:r w:rsidRPr="005F7836">
        <w:rPr>
          <w:rFonts w:cs="Arial"/>
          <w:b/>
          <w:lang w:val="ru-RU"/>
        </w:rPr>
        <w:t xml:space="preserve"> </w:t>
      </w:r>
      <w:r w:rsidRPr="005F7836">
        <w:rPr>
          <w:rFonts w:cs="Arial"/>
          <w:lang w:val="ru-RU"/>
        </w:rPr>
        <w:t>привлечения средств.</w:t>
      </w:r>
    </w:p>
    <w:p w14:paraId="4AFBDF38" w14:textId="36A35E03" w:rsidR="00035854" w:rsidRPr="005F7836" w:rsidRDefault="006C4A30" w:rsidP="00F02EAF">
      <w:pPr>
        <w:pStyle w:val="CoDNormal"/>
        <w:rPr>
          <w:rFonts w:cs="Arial"/>
          <w:lang w:val="ru-RU"/>
        </w:rPr>
      </w:pPr>
      <w:r w:rsidRPr="005F7836">
        <w:rPr>
          <w:rFonts w:cs="Arial"/>
          <w:lang w:val="ru-RU"/>
        </w:rPr>
        <w:t>Встреча Р</w:t>
      </w:r>
      <w:r w:rsidR="00035854" w:rsidRPr="005F7836">
        <w:rPr>
          <w:rFonts w:cs="Arial"/>
          <w:lang w:val="ru-RU"/>
        </w:rPr>
        <w:t>абочей группы</w:t>
      </w:r>
      <w:r w:rsidRPr="005F7836">
        <w:rPr>
          <w:rFonts w:cs="Arial"/>
          <w:lang w:val="ru-RU"/>
        </w:rPr>
        <w:t xml:space="preserve"> состоялась в Женеве в марте 2017 года. В ходе</w:t>
      </w:r>
      <w:r w:rsidR="00035854" w:rsidRPr="005F7836">
        <w:rPr>
          <w:rFonts w:cs="Arial"/>
          <w:lang w:val="ru-RU"/>
        </w:rPr>
        <w:t xml:space="preserve"> </w:t>
      </w:r>
      <w:r w:rsidRPr="005F7836">
        <w:rPr>
          <w:rFonts w:cs="Arial"/>
          <w:lang w:val="ru-RU"/>
        </w:rPr>
        <w:t>двухдневных консультаций участникам было предложено дать предварительное обоснование</w:t>
      </w:r>
      <w:r w:rsidR="00035854" w:rsidRPr="005F7836">
        <w:rPr>
          <w:rFonts w:cs="Arial"/>
          <w:lang w:val="ru-RU"/>
        </w:rPr>
        <w:t xml:space="preserve"> каждой инициативы; разработать инициативу, </w:t>
      </w:r>
      <w:r w:rsidRPr="005F7836">
        <w:rPr>
          <w:rFonts w:cs="Arial"/>
          <w:lang w:val="ru-RU"/>
        </w:rPr>
        <w:t>определить</w:t>
      </w:r>
      <w:r w:rsidR="00035854" w:rsidRPr="005F7836">
        <w:rPr>
          <w:rFonts w:cs="Arial"/>
          <w:lang w:val="ru-RU"/>
        </w:rPr>
        <w:t xml:space="preserve"> ее масштаб и</w:t>
      </w:r>
      <w:r w:rsidRPr="005F7836">
        <w:rPr>
          <w:rFonts w:cs="Arial"/>
          <w:lang w:val="ru-RU"/>
        </w:rPr>
        <w:t xml:space="preserve"> модель</w:t>
      </w:r>
      <w:r w:rsidR="00035854" w:rsidRPr="005F7836">
        <w:rPr>
          <w:rFonts w:cs="Arial"/>
          <w:lang w:val="ru-RU"/>
        </w:rPr>
        <w:t xml:space="preserve">; составить бизнес-план и </w:t>
      </w:r>
      <w:r w:rsidRPr="005F7836">
        <w:rPr>
          <w:rFonts w:cs="Arial"/>
          <w:lang w:val="ru-RU"/>
        </w:rPr>
        <w:t>подготовить первоначальную оценку фи</w:t>
      </w:r>
      <w:r w:rsidR="00035854" w:rsidRPr="005F7836">
        <w:rPr>
          <w:rFonts w:cs="Arial"/>
          <w:lang w:val="ru-RU"/>
        </w:rPr>
        <w:t>н</w:t>
      </w:r>
      <w:r w:rsidRPr="005F7836">
        <w:rPr>
          <w:rFonts w:cs="Arial"/>
          <w:lang w:val="ru-RU"/>
        </w:rPr>
        <w:t>а</w:t>
      </w:r>
      <w:r w:rsidR="00035854" w:rsidRPr="005F7836">
        <w:rPr>
          <w:rFonts w:cs="Arial"/>
          <w:lang w:val="ru-RU"/>
        </w:rPr>
        <w:t>н</w:t>
      </w:r>
      <w:r w:rsidRPr="005F7836">
        <w:rPr>
          <w:rFonts w:cs="Arial"/>
          <w:lang w:val="ru-RU"/>
        </w:rPr>
        <w:t xml:space="preserve">совых и </w:t>
      </w:r>
      <w:r w:rsidR="00035854" w:rsidRPr="005F7836">
        <w:rPr>
          <w:rFonts w:cs="Arial"/>
          <w:lang w:val="ru-RU"/>
        </w:rPr>
        <w:t xml:space="preserve">ресурсных </w:t>
      </w:r>
      <w:r w:rsidRPr="005F7836">
        <w:rPr>
          <w:rFonts w:cs="Arial"/>
          <w:lang w:val="ru-RU"/>
        </w:rPr>
        <w:t>требований</w:t>
      </w:r>
      <w:r w:rsidR="00035854" w:rsidRPr="005F7836">
        <w:rPr>
          <w:rFonts w:cs="Arial"/>
          <w:lang w:val="ru-RU"/>
        </w:rPr>
        <w:t xml:space="preserve">, а </w:t>
      </w:r>
      <w:r w:rsidRPr="005F7836">
        <w:rPr>
          <w:rFonts w:cs="Arial"/>
          <w:lang w:val="ru-RU"/>
        </w:rPr>
        <w:t>также</w:t>
      </w:r>
      <w:r w:rsidR="00035854" w:rsidRPr="005F7836">
        <w:rPr>
          <w:rFonts w:cs="Arial"/>
          <w:lang w:val="ru-RU"/>
        </w:rPr>
        <w:t xml:space="preserve"> </w:t>
      </w:r>
      <w:r w:rsidRPr="005F7836">
        <w:rPr>
          <w:rFonts w:cs="Arial"/>
          <w:lang w:val="ru-RU"/>
        </w:rPr>
        <w:t>предложить решения, сценарии и план осуществления</w:t>
      </w:r>
      <w:r w:rsidR="00035854" w:rsidRPr="005F7836">
        <w:rPr>
          <w:rFonts w:cs="Arial"/>
          <w:lang w:val="ru-RU"/>
        </w:rPr>
        <w:t xml:space="preserve"> всего </w:t>
      </w:r>
      <w:r w:rsidRPr="005F7836">
        <w:rPr>
          <w:rFonts w:cs="Arial"/>
          <w:lang w:val="ru-RU"/>
        </w:rPr>
        <w:t>проекта, включая сроки реализации каждого этапа</w:t>
      </w:r>
      <w:r w:rsidR="00035854" w:rsidRPr="005F7836">
        <w:rPr>
          <w:rFonts w:cs="Arial"/>
          <w:lang w:val="ru-RU"/>
        </w:rPr>
        <w:t>, масштаб, основн</w:t>
      </w:r>
      <w:r w:rsidRPr="005F7836">
        <w:rPr>
          <w:rFonts w:cs="Arial"/>
          <w:lang w:val="ru-RU"/>
        </w:rPr>
        <w:t xml:space="preserve">ые вехи и процесс практической реализации на период трех лет после проведения </w:t>
      </w:r>
      <w:r w:rsidR="00035854" w:rsidRPr="005F7836">
        <w:rPr>
          <w:rFonts w:cs="Arial"/>
          <w:lang w:val="ru-RU"/>
        </w:rPr>
        <w:t xml:space="preserve">Совета делегатов 2017 года. </w:t>
      </w:r>
    </w:p>
    <w:p w14:paraId="0DD07E93" w14:textId="50E68B20" w:rsidR="0090693B" w:rsidRPr="005F7836" w:rsidRDefault="002D5FA3" w:rsidP="00F02EAF">
      <w:pPr>
        <w:pStyle w:val="CoDNormal"/>
        <w:rPr>
          <w:rFonts w:cs="Arial"/>
          <w:lang w:val="ru-RU"/>
        </w:rPr>
      </w:pPr>
      <w:r w:rsidRPr="005F7836">
        <w:rPr>
          <w:rFonts w:cs="Arial"/>
          <w:lang w:val="ru-RU"/>
        </w:rPr>
        <w:t>Дополни</w:t>
      </w:r>
      <w:r w:rsidR="008C3AD8" w:rsidRPr="005F7836">
        <w:rPr>
          <w:rFonts w:cs="Arial"/>
          <w:lang w:val="ru-RU"/>
        </w:rPr>
        <w:t>тельные технические консультации</w:t>
      </w:r>
      <w:r w:rsidRPr="005F7836">
        <w:rPr>
          <w:rFonts w:cs="Arial"/>
          <w:lang w:val="ru-RU"/>
        </w:rPr>
        <w:t xml:space="preserve"> по к</w:t>
      </w:r>
      <w:r w:rsidR="008C3AD8" w:rsidRPr="005F7836">
        <w:rPr>
          <w:rFonts w:cs="Arial"/>
          <w:lang w:val="ru-RU"/>
        </w:rPr>
        <w:t>онцепции, принципам и инициативам Движен</w:t>
      </w:r>
      <w:r w:rsidRPr="005F7836">
        <w:rPr>
          <w:rFonts w:cs="Arial"/>
          <w:lang w:val="ru-RU"/>
        </w:rPr>
        <w:t>и</w:t>
      </w:r>
      <w:r w:rsidR="008C3AD8" w:rsidRPr="005F7836">
        <w:rPr>
          <w:rFonts w:cs="Arial"/>
          <w:lang w:val="ru-RU"/>
        </w:rPr>
        <w:t>я</w:t>
      </w:r>
      <w:r w:rsidRPr="005F7836">
        <w:rPr>
          <w:rFonts w:cs="Arial"/>
          <w:lang w:val="ru-RU"/>
        </w:rPr>
        <w:t xml:space="preserve"> в области моби</w:t>
      </w:r>
      <w:r w:rsidR="008C3AD8" w:rsidRPr="005F7836">
        <w:rPr>
          <w:rFonts w:cs="Arial"/>
          <w:lang w:val="ru-RU"/>
        </w:rPr>
        <w:t>л</w:t>
      </w:r>
      <w:r w:rsidRPr="005F7836">
        <w:rPr>
          <w:rFonts w:cs="Arial"/>
          <w:lang w:val="ru-RU"/>
        </w:rPr>
        <w:t>и</w:t>
      </w:r>
      <w:r w:rsidR="008C3AD8" w:rsidRPr="005F7836">
        <w:rPr>
          <w:rFonts w:cs="Arial"/>
          <w:lang w:val="ru-RU"/>
        </w:rPr>
        <w:t>зации ресурсов б</w:t>
      </w:r>
      <w:r w:rsidRPr="005F7836">
        <w:rPr>
          <w:rFonts w:cs="Arial"/>
          <w:lang w:val="ru-RU"/>
        </w:rPr>
        <w:t>ы</w:t>
      </w:r>
      <w:r w:rsidR="003D5609" w:rsidRPr="005F7836">
        <w:rPr>
          <w:rFonts w:cs="Arial"/>
          <w:lang w:val="ru-RU"/>
        </w:rPr>
        <w:t>ли проведены в рамках</w:t>
      </w:r>
      <w:r w:rsidR="008C3AD8" w:rsidRPr="005F7836">
        <w:rPr>
          <w:rFonts w:cs="Arial"/>
          <w:lang w:val="ru-RU"/>
        </w:rPr>
        <w:t xml:space="preserve"> след</w:t>
      </w:r>
      <w:r w:rsidR="003D5609" w:rsidRPr="005F7836">
        <w:rPr>
          <w:rFonts w:cs="Arial"/>
          <w:lang w:val="ru-RU"/>
        </w:rPr>
        <w:t>ующих мероприятий</w:t>
      </w:r>
      <w:r w:rsidR="0090693B" w:rsidRPr="005F7836">
        <w:rPr>
          <w:rFonts w:cs="Arial"/>
          <w:lang w:val="ru-RU"/>
        </w:rPr>
        <w:t>:</w:t>
      </w:r>
    </w:p>
    <w:p w14:paraId="667FE524" w14:textId="62EFE58E" w:rsidR="0090693B" w:rsidRPr="005F7836" w:rsidRDefault="00AA2D03" w:rsidP="00F02EAF">
      <w:pPr>
        <w:pStyle w:val="CoDBullet"/>
        <w:rPr>
          <w:rFonts w:cs="Arial"/>
          <w:lang w:val="ru-RU"/>
        </w:rPr>
      </w:pPr>
      <w:r w:rsidRPr="005F7836">
        <w:rPr>
          <w:rFonts w:cs="Arial"/>
          <w:lang w:val="ru-RU"/>
        </w:rPr>
        <w:t>Международный обмен опытом в области привлечения средств, Лондон</w:t>
      </w:r>
      <w:r w:rsidR="00F35167" w:rsidRPr="005F7836">
        <w:rPr>
          <w:rFonts w:cs="Arial"/>
          <w:lang w:val="ru-RU"/>
        </w:rPr>
        <w:t>,</w:t>
      </w:r>
      <w:r w:rsidRPr="005F7836">
        <w:rPr>
          <w:rFonts w:cs="Arial"/>
          <w:lang w:val="ru-RU"/>
        </w:rPr>
        <w:t xml:space="preserve"> сентябрь</w:t>
      </w:r>
      <w:r w:rsidR="00B4765A" w:rsidRPr="005F7836">
        <w:rPr>
          <w:rFonts w:cs="Arial"/>
          <w:lang w:val="ru-RU"/>
        </w:rPr>
        <w:t xml:space="preserve"> 2016</w:t>
      </w:r>
      <w:r w:rsidR="009928FD" w:rsidRPr="005F7836">
        <w:rPr>
          <w:rFonts w:cs="Arial"/>
          <w:lang w:val="ru-RU"/>
        </w:rPr>
        <w:t xml:space="preserve"> года, с участием</w:t>
      </w:r>
      <w:r w:rsidRPr="005F7836">
        <w:rPr>
          <w:rFonts w:cs="Arial"/>
          <w:lang w:val="ru-RU"/>
        </w:rPr>
        <w:t xml:space="preserve"> 250 </w:t>
      </w:r>
      <w:r w:rsidR="009928FD" w:rsidRPr="005F7836">
        <w:rPr>
          <w:rFonts w:cs="Arial"/>
          <w:lang w:val="ru-RU"/>
        </w:rPr>
        <w:t>специалистов</w:t>
      </w:r>
      <w:r w:rsidRPr="005F7836">
        <w:rPr>
          <w:rFonts w:cs="Arial"/>
          <w:lang w:val="ru-RU"/>
        </w:rPr>
        <w:t xml:space="preserve"> по привле</w:t>
      </w:r>
      <w:r w:rsidR="009928FD" w:rsidRPr="005F7836">
        <w:rPr>
          <w:rFonts w:cs="Arial"/>
          <w:lang w:val="ru-RU"/>
        </w:rPr>
        <w:t>чению средств из более чем 50 национальных обществ</w:t>
      </w:r>
      <w:r w:rsidR="00E92BD8" w:rsidRPr="005F7836">
        <w:rPr>
          <w:rFonts w:cs="Arial"/>
          <w:lang w:val="ru-RU"/>
        </w:rPr>
        <w:t>;</w:t>
      </w:r>
    </w:p>
    <w:p w14:paraId="538680ED" w14:textId="345084A3" w:rsidR="0090693B" w:rsidRPr="005F7836" w:rsidRDefault="00B94AFE" w:rsidP="00F02EAF">
      <w:pPr>
        <w:pStyle w:val="CoDBullet"/>
        <w:rPr>
          <w:rFonts w:cs="Arial"/>
          <w:lang w:val="ru-RU"/>
        </w:rPr>
      </w:pPr>
      <w:r w:rsidRPr="005F7836">
        <w:rPr>
          <w:rFonts w:cs="Arial"/>
          <w:lang w:val="ru-RU"/>
        </w:rPr>
        <w:t xml:space="preserve">Встреча участников </w:t>
      </w:r>
      <w:r w:rsidR="004879DE" w:rsidRPr="005F7836">
        <w:rPr>
          <w:rFonts w:cs="Arial"/>
          <w:lang w:val="ru-RU"/>
        </w:rPr>
        <w:t>Азиатско-Т</w:t>
      </w:r>
      <w:r w:rsidR="00A27406" w:rsidRPr="005F7836">
        <w:rPr>
          <w:rFonts w:cs="Arial"/>
          <w:lang w:val="ru-RU"/>
        </w:rPr>
        <w:t>ихооке</w:t>
      </w:r>
      <w:r w:rsidR="004879DE" w:rsidRPr="005F7836">
        <w:rPr>
          <w:rFonts w:cs="Arial"/>
          <w:lang w:val="ru-RU"/>
        </w:rPr>
        <w:t>анской</w:t>
      </w:r>
      <w:r w:rsidRPr="005F7836">
        <w:rPr>
          <w:rFonts w:cs="Arial"/>
          <w:lang w:val="ru-RU"/>
        </w:rPr>
        <w:t xml:space="preserve"> сети</w:t>
      </w:r>
      <w:r w:rsidR="009928FD" w:rsidRPr="005F7836">
        <w:rPr>
          <w:rFonts w:cs="Arial"/>
          <w:lang w:val="ru-RU"/>
        </w:rPr>
        <w:t xml:space="preserve"> специалистов по привлечению</w:t>
      </w:r>
      <w:r w:rsidR="00A27406" w:rsidRPr="005F7836">
        <w:rPr>
          <w:rFonts w:cs="Arial"/>
          <w:lang w:val="ru-RU"/>
        </w:rPr>
        <w:t xml:space="preserve"> средств</w:t>
      </w:r>
      <w:r w:rsidR="00B4765A" w:rsidRPr="005F7836">
        <w:rPr>
          <w:rFonts w:cs="Arial"/>
          <w:lang w:val="ru-RU"/>
        </w:rPr>
        <w:t>,</w:t>
      </w:r>
      <w:r w:rsidR="00A27406" w:rsidRPr="005F7836">
        <w:rPr>
          <w:rFonts w:cs="Arial"/>
          <w:lang w:val="ru-RU"/>
        </w:rPr>
        <w:t xml:space="preserve"> Сеул</w:t>
      </w:r>
      <w:r w:rsidR="00F35167" w:rsidRPr="005F7836">
        <w:rPr>
          <w:rFonts w:cs="Arial"/>
          <w:lang w:val="ru-RU"/>
        </w:rPr>
        <w:t>,</w:t>
      </w:r>
      <w:r w:rsidR="00A27406" w:rsidRPr="005F7836">
        <w:rPr>
          <w:rFonts w:cs="Arial"/>
          <w:lang w:val="ru-RU"/>
        </w:rPr>
        <w:t xml:space="preserve"> март </w:t>
      </w:r>
      <w:r w:rsidR="00B4765A" w:rsidRPr="005F7836">
        <w:rPr>
          <w:rFonts w:cs="Arial"/>
          <w:lang w:val="ru-RU"/>
        </w:rPr>
        <w:t xml:space="preserve"> 2017</w:t>
      </w:r>
      <w:r w:rsidR="00A27406" w:rsidRPr="005F7836">
        <w:rPr>
          <w:rFonts w:cs="Arial"/>
          <w:lang w:val="ru-RU"/>
        </w:rPr>
        <w:t xml:space="preserve"> года</w:t>
      </w:r>
      <w:r w:rsidR="00B4765A" w:rsidRPr="005F7836">
        <w:rPr>
          <w:rFonts w:cs="Arial"/>
          <w:lang w:val="ru-RU"/>
        </w:rPr>
        <w:t xml:space="preserve">, </w:t>
      </w:r>
      <w:r w:rsidR="009928FD" w:rsidRPr="005F7836">
        <w:rPr>
          <w:rFonts w:cs="Arial"/>
          <w:lang w:val="ru-RU"/>
        </w:rPr>
        <w:t xml:space="preserve"> с участием</w:t>
      </w:r>
      <w:r w:rsidR="00A27406" w:rsidRPr="005F7836">
        <w:rPr>
          <w:rFonts w:cs="Arial"/>
          <w:lang w:val="ru-RU"/>
        </w:rPr>
        <w:t xml:space="preserve"> </w:t>
      </w:r>
      <w:r w:rsidR="00B4765A" w:rsidRPr="005F7836">
        <w:rPr>
          <w:rFonts w:cs="Arial"/>
          <w:lang w:val="ru-RU"/>
        </w:rPr>
        <w:t xml:space="preserve">73 </w:t>
      </w:r>
      <w:r w:rsidR="009928FD" w:rsidRPr="005F7836">
        <w:rPr>
          <w:rFonts w:cs="Arial"/>
          <w:lang w:val="ru-RU"/>
        </w:rPr>
        <w:t>специалистов по привлечению средств из 26 национальных обществ</w:t>
      </w:r>
      <w:r w:rsidR="00E92BD8" w:rsidRPr="005F7836">
        <w:rPr>
          <w:rFonts w:cs="Arial"/>
          <w:lang w:val="ru-RU"/>
        </w:rPr>
        <w:t>;</w:t>
      </w:r>
    </w:p>
    <w:p w14:paraId="6A0CDEAF" w14:textId="077C8967" w:rsidR="0090693B" w:rsidRPr="005F7836" w:rsidRDefault="009928FD" w:rsidP="00F02EAF">
      <w:pPr>
        <w:pStyle w:val="CoDBullet"/>
        <w:rPr>
          <w:rFonts w:cs="Arial"/>
          <w:lang w:val="ru-RU"/>
        </w:rPr>
      </w:pPr>
      <w:r w:rsidRPr="005F7836">
        <w:rPr>
          <w:rFonts w:cs="Arial"/>
          <w:lang w:val="ru-RU"/>
        </w:rPr>
        <w:t>О</w:t>
      </w:r>
      <w:r w:rsidR="00A27406" w:rsidRPr="005F7836">
        <w:rPr>
          <w:rFonts w:cs="Arial"/>
          <w:lang w:val="ru-RU"/>
        </w:rPr>
        <w:t>бмен опытом</w:t>
      </w:r>
      <w:r w:rsidRPr="005F7836">
        <w:rPr>
          <w:rFonts w:cs="Arial"/>
          <w:lang w:val="ru-RU"/>
        </w:rPr>
        <w:t xml:space="preserve"> между представителями скандинавских стран</w:t>
      </w:r>
      <w:r w:rsidR="00A27406" w:rsidRPr="005F7836">
        <w:rPr>
          <w:rFonts w:cs="Arial"/>
          <w:lang w:val="ru-RU"/>
        </w:rPr>
        <w:t>, Стокгольм</w:t>
      </w:r>
      <w:r w:rsidR="00F35167" w:rsidRPr="005F7836">
        <w:rPr>
          <w:rFonts w:cs="Arial"/>
          <w:lang w:val="ru-RU"/>
        </w:rPr>
        <w:t>,</w:t>
      </w:r>
      <w:r w:rsidR="00A27406" w:rsidRPr="005F7836">
        <w:rPr>
          <w:rFonts w:cs="Arial"/>
          <w:lang w:val="ru-RU"/>
        </w:rPr>
        <w:t xml:space="preserve"> март</w:t>
      </w:r>
      <w:r w:rsidR="00B4765A" w:rsidRPr="005F7836">
        <w:rPr>
          <w:rFonts w:cs="Arial"/>
          <w:lang w:val="ru-RU"/>
        </w:rPr>
        <w:t xml:space="preserve"> 2017</w:t>
      </w:r>
      <w:r w:rsidR="00A27406" w:rsidRPr="005F7836">
        <w:rPr>
          <w:rFonts w:cs="Arial"/>
          <w:lang w:val="ru-RU"/>
        </w:rPr>
        <w:t xml:space="preserve"> года</w:t>
      </w:r>
      <w:r w:rsidR="00B4765A" w:rsidRPr="005F7836">
        <w:rPr>
          <w:rFonts w:cs="Arial"/>
          <w:lang w:val="ru-RU"/>
        </w:rPr>
        <w:t xml:space="preserve">, </w:t>
      </w:r>
      <w:r w:rsidRPr="005F7836">
        <w:rPr>
          <w:rFonts w:cs="Arial"/>
          <w:lang w:val="ru-RU"/>
        </w:rPr>
        <w:t>с участием 130 специалистов по привлечению средств из 5 национальных обществ</w:t>
      </w:r>
      <w:r w:rsidR="00E92BD8" w:rsidRPr="005F7836">
        <w:rPr>
          <w:rFonts w:cs="Arial"/>
          <w:lang w:val="ru-RU"/>
        </w:rPr>
        <w:t>;</w:t>
      </w:r>
    </w:p>
    <w:p w14:paraId="0AC7D092" w14:textId="428938A4" w:rsidR="0090693B" w:rsidRPr="005F7836" w:rsidRDefault="002F3BB9" w:rsidP="00F02EAF">
      <w:pPr>
        <w:pStyle w:val="CoDBullet"/>
        <w:rPr>
          <w:rFonts w:cs="Arial"/>
          <w:lang w:val="ru-RU"/>
        </w:rPr>
      </w:pPr>
      <w:r w:rsidRPr="005F7836">
        <w:rPr>
          <w:rFonts w:cs="Arial"/>
          <w:lang w:val="ru-RU"/>
        </w:rPr>
        <w:t>Обмен опытом в области привлечения средств в Восточно-Европейском и Центрально-Азиатском регионе, Будапешт</w:t>
      </w:r>
      <w:r w:rsidR="00F35167" w:rsidRPr="005F7836">
        <w:rPr>
          <w:rFonts w:cs="Arial"/>
          <w:lang w:val="ru-RU"/>
        </w:rPr>
        <w:t>,</w:t>
      </w:r>
      <w:r w:rsidRPr="005F7836">
        <w:rPr>
          <w:rFonts w:cs="Arial"/>
          <w:lang w:val="ru-RU"/>
        </w:rPr>
        <w:t xml:space="preserve"> июнь</w:t>
      </w:r>
      <w:r w:rsidR="00B4765A" w:rsidRPr="005F7836">
        <w:rPr>
          <w:rFonts w:cs="Arial"/>
          <w:lang w:val="ru-RU"/>
        </w:rPr>
        <w:t xml:space="preserve"> 2017</w:t>
      </w:r>
      <w:r w:rsidR="009928FD" w:rsidRPr="005F7836">
        <w:rPr>
          <w:rFonts w:cs="Arial"/>
          <w:lang w:val="ru-RU"/>
        </w:rPr>
        <w:t xml:space="preserve"> года, с участием</w:t>
      </w:r>
      <w:r w:rsidRPr="005F7836">
        <w:rPr>
          <w:rFonts w:cs="Arial"/>
          <w:lang w:val="ru-RU"/>
        </w:rPr>
        <w:t xml:space="preserve"> </w:t>
      </w:r>
      <w:r w:rsidR="00B4765A" w:rsidRPr="005F7836">
        <w:rPr>
          <w:rFonts w:cs="Arial"/>
          <w:lang w:val="ru-RU"/>
        </w:rPr>
        <w:t xml:space="preserve"> 36 </w:t>
      </w:r>
      <w:r w:rsidR="009928FD" w:rsidRPr="005F7836">
        <w:rPr>
          <w:rFonts w:cs="Arial"/>
          <w:lang w:val="ru-RU"/>
        </w:rPr>
        <w:t>специалистов по привлечению средств из 19 национальных обществ</w:t>
      </w:r>
      <w:r w:rsidR="00E92BD8" w:rsidRPr="005F7836">
        <w:rPr>
          <w:rFonts w:cs="Arial"/>
          <w:lang w:val="ru-RU"/>
        </w:rPr>
        <w:t>;</w:t>
      </w:r>
    </w:p>
    <w:p w14:paraId="2E992138" w14:textId="25D0BDA3" w:rsidR="00B4765A" w:rsidRPr="005F7836" w:rsidRDefault="002F3BB9" w:rsidP="00F02EAF">
      <w:pPr>
        <w:pStyle w:val="CoDBullet"/>
        <w:rPr>
          <w:rFonts w:cs="Arial"/>
          <w:lang w:val="ru-RU"/>
        </w:rPr>
      </w:pPr>
      <w:r w:rsidRPr="005F7836">
        <w:rPr>
          <w:rFonts w:cs="Arial"/>
          <w:lang w:val="ru-RU"/>
        </w:rPr>
        <w:t xml:space="preserve">Встречи </w:t>
      </w:r>
      <w:r w:rsidR="009928FD" w:rsidRPr="005F7836">
        <w:rPr>
          <w:rFonts w:cs="Arial"/>
          <w:lang w:val="ru-RU"/>
        </w:rPr>
        <w:t>Европейской</w:t>
      </w:r>
      <w:r w:rsidRPr="005F7836">
        <w:rPr>
          <w:rFonts w:cs="Arial"/>
          <w:lang w:val="ru-RU"/>
        </w:rPr>
        <w:t xml:space="preserve"> </w:t>
      </w:r>
      <w:r w:rsidR="009928FD" w:rsidRPr="005F7836">
        <w:rPr>
          <w:rFonts w:cs="Arial"/>
          <w:lang w:val="ru-RU"/>
        </w:rPr>
        <w:t>общественной</w:t>
      </w:r>
      <w:r w:rsidRPr="005F7836">
        <w:rPr>
          <w:rFonts w:cs="Arial"/>
          <w:lang w:val="ru-RU"/>
        </w:rPr>
        <w:t xml:space="preserve"> группы </w:t>
      </w:r>
      <w:r w:rsidR="009928FD" w:rsidRPr="005F7836">
        <w:rPr>
          <w:rFonts w:cs="Arial"/>
          <w:lang w:val="ru-RU"/>
        </w:rPr>
        <w:t>поддержки</w:t>
      </w:r>
      <w:r w:rsidRPr="005F7836">
        <w:rPr>
          <w:rFonts w:cs="Arial"/>
          <w:lang w:val="ru-RU"/>
        </w:rPr>
        <w:t xml:space="preserve"> в Берлине (октябрь</w:t>
      </w:r>
      <w:r w:rsidR="00B4765A" w:rsidRPr="005F7836">
        <w:rPr>
          <w:rFonts w:cs="Arial"/>
          <w:lang w:val="ru-RU"/>
        </w:rPr>
        <w:t xml:space="preserve"> 2016</w:t>
      </w:r>
      <w:r w:rsidRPr="005F7836">
        <w:rPr>
          <w:rFonts w:cs="Arial"/>
          <w:lang w:val="ru-RU"/>
        </w:rPr>
        <w:t xml:space="preserve"> года) и Барселоне (май </w:t>
      </w:r>
      <w:r w:rsidR="00B4765A" w:rsidRPr="005F7836">
        <w:rPr>
          <w:rFonts w:cs="Arial"/>
          <w:lang w:val="ru-RU"/>
        </w:rPr>
        <w:t>2017</w:t>
      </w:r>
      <w:r w:rsidR="009928FD" w:rsidRPr="005F7836">
        <w:rPr>
          <w:rFonts w:cs="Arial"/>
          <w:lang w:val="ru-RU"/>
        </w:rPr>
        <w:t xml:space="preserve"> года), с участием директоров</w:t>
      </w:r>
      <w:r w:rsidRPr="005F7836">
        <w:rPr>
          <w:rFonts w:cs="Arial"/>
          <w:lang w:val="ru-RU"/>
        </w:rPr>
        <w:t xml:space="preserve"> по связям с </w:t>
      </w:r>
      <w:r w:rsidR="009928FD" w:rsidRPr="005F7836">
        <w:rPr>
          <w:rFonts w:cs="Arial"/>
          <w:lang w:val="ru-RU"/>
        </w:rPr>
        <w:t>общественностью</w:t>
      </w:r>
      <w:r w:rsidRPr="005F7836">
        <w:rPr>
          <w:rFonts w:cs="Arial"/>
          <w:lang w:val="ru-RU"/>
        </w:rPr>
        <w:t xml:space="preserve"> и </w:t>
      </w:r>
      <w:r w:rsidR="009928FD" w:rsidRPr="005F7836">
        <w:rPr>
          <w:rFonts w:cs="Arial"/>
          <w:lang w:val="ru-RU"/>
        </w:rPr>
        <w:t>специалистов по привлечению средств из 23 национальных обществ</w:t>
      </w:r>
      <w:r w:rsidR="00F02EAF" w:rsidRPr="005F7836">
        <w:rPr>
          <w:rFonts w:cs="Arial"/>
          <w:lang w:val="ru-RU"/>
        </w:rPr>
        <w:t>.</w:t>
      </w:r>
    </w:p>
    <w:p w14:paraId="5A697953" w14:textId="3E994977" w:rsidR="0063451D" w:rsidRPr="005F7836" w:rsidRDefault="002F3BB9" w:rsidP="00F02EAF">
      <w:pPr>
        <w:pStyle w:val="CoDHeading2"/>
        <w:rPr>
          <w:rFonts w:cs="Arial"/>
          <w:lang w:val="ru-RU"/>
        </w:rPr>
      </w:pPr>
      <w:r w:rsidRPr="005F7836">
        <w:rPr>
          <w:rFonts w:cs="Arial"/>
          <w:lang w:val="ru-RU"/>
        </w:rPr>
        <w:t>консультации руководящего состава</w:t>
      </w:r>
    </w:p>
    <w:p w14:paraId="57E7363A" w14:textId="6F232753" w:rsidR="0090693B" w:rsidRPr="005F7836" w:rsidRDefault="001161D1" w:rsidP="00F02EAF">
      <w:pPr>
        <w:pStyle w:val="CoDNormal"/>
        <w:rPr>
          <w:rFonts w:cs="Arial"/>
          <w:lang w:val="ru-RU"/>
        </w:rPr>
      </w:pPr>
      <w:r w:rsidRPr="005F7836">
        <w:rPr>
          <w:rFonts w:cs="Arial"/>
          <w:lang w:val="ru-RU"/>
        </w:rPr>
        <w:t xml:space="preserve">МККК и МФОККиКП предоставляли необходимую информацию руководителям </w:t>
      </w:r>
      <w:r w:rsidR="00FD7E16" w:rsidRPr="005F7836">
        <w:rPr>
          <w:rFonts w:cs="Arial"/>
          <w:lang w:val="ru-RU"/>
        </w:rPr>
        <w:t>национальных обществ</w:t>
      </w:r>
      <w:r w:rsidRPr="005F7836">
        <w:rPr>
          <w:rFonts w:cs="Arial"/>
          <w:lang w:val="ru-RU"/>
        </w:rPr>
        <w:t xml:space="preserve"> и проводили</w:t>
      </w:r>
      <w:r w:rsidR="002F3BB9" w:rsidRPr="005F7836">
        <w:rPr>
          <w:rFonts w:cs="Arial"/>
          <w:lang w:val="ru-RU"/>
        </w:rPr>
        <w:t xml:space="preserve"> консультации </w:t>
      </w:r>
      <w:r w:rsidRPr="005F7836">
        <w:rPr>
          <w:rFonts w:cs="Arial"/>
          <w:lang w:val="ru-RU"/>
        </w:rPr>
        <w:t xml:space="preserve">с ними </w:t>
      </w:r>
      <w:r w:rsidR="002F3BB9" w:rsidRPr="005F7836">
        <w:rPr>
          <w:rFonts w:cs="Arial"/>
          <w:lang w:val="ru-RU"/>
        </w:rPr>
        <w:t>на протяжени</w:t>
      </w:r>
      <w:r w:rsidRPr="005F7836">
        <w:rPr>
          <w:rFonts w:cs="Arial"/>
          <w:lang w:val="ru-RU"/>
        </w:rPr>
        <w:t>и</w:t>
      </w:r>
      <w:r w:rsidR="002F3BB9" w:rsidRPr="005F7836">
        <w:rPr>
          <w:rFonts w:cs="Arial"/>
          <w:lang w:val="ru-RU"/>
        </w:rPr>
        <w:t xml:space="preserve"> всего процесса, в том числе на следующих мероприятиях</w:t>
      </w:r>
      <w:r w:rsidR="00F02EAF" w:rsidRPr="005F7836">
        <w:rPr>
          <w:rFonts w:cs="Arial"/>
          <w:lang w:val="ru-RU"/>
        </w:rPr>
        <w:t>:</w:t>
      </w:r>
    </w:p>
    <w:p w14:paraId="2775D258" w14:textId="3DAC8ED4" w:rsidR="0090693B" w:rsidRPr="005F7836" w:rsidRDefault="002F3BB9" w:rsidP="00F02EAF">
      <w:pPr>
        <w:pStyle w:val="CoDBullet"/>
        <w:rPr>
          <w:rFonts w:cs="Arial"/>
          <w:lang w:val="ru-RU"/>
        </w:rPr>
      </w:pPr>
      <w:r w:rsidRPr="005F7836">
        <w:rPr>
          <w:rFonts w:cs="Arial"/>
          <w:lang w:val="ru-RU"/>
        </w:rPr>
        <w:t>Пан-Африканская конференция, Абиджан</w:t>
      </w:r>
      <w:r w:rsidR="00F35167" w:rsidRPr="005F7836">
        <w:rPr>
          <w:rFonts w:cs="Arial"/>
          <w:lang w:val="ru-RU"/>
        </w:rPr>
        <w:t>,</w:t>
      </w:r>
      <w:r w:rsidRPr="005F7836">
        <w:rPr>
          <w:rFonts w:cs="Arial"/>
          <w:lang w:val="ru-RU"/>
        </w:rPr>
        <w:t xml:space="preserve"> апрель</w:t>
      </w:r>
      <w:r w:rsidR="00F02EAF" w:rsidRPr="005F7836">
        <w:rPr>
          <w:rFonts w:cs="Arial"/>
          <w:lang w:val="ru-RU"/>
        </w:rPr>
        <w:t xml:space="preserve"> 2017</w:t>
      </w:r>
      <w:r w:rsidRPr="005F7836">
        <w:rPr>
          <w:rFonts w:cs="Arial"/>
          <w:lang w:val="ru-RU"/>
        </w:rPr>
        <w:t xml:space="preserve"> года</w:t>
      </w:r>
      <w:r w:rsidR="00ED609A" w:rsidRPr="005F7836">
        <w:rPr>
          <w:rFonts w:cs="Arial"/>
          <w:lang w:val="ru-RU"/>
        </w:rPr>
        <w:t>;</w:t>
      </w:r>
    </w:p>
    <w:p w14:paraId="6E132F9D" w14:textId="17E4D831" w:rsidR="0090693B" w:rsidRPr="005F7836" w:rsidRDefault="002F3BB9" w:rsidP="00F02EAF">
      <w:pPr>
        <w:pStyle w:val="CoDBullet"/>
        <w:rPr>
          <w:rFonts w:cs="Arial"/>
          <w:lang w:val="ru-RU"/>
        </w:rPr>
      </w:pPr>
      <w:r w:rsidRPr="005F7836">
        <w:rPr>
          <w:rFonts w:cs="Arial"/>
          <w:lang w:val="ru-RU"/>
        </w:rPr>
        <w:t xml:space="preserve">Встреча руководителей </w:t>
      </w:r>
      <w:r w:rsidR="004A1087" w:rsidRPr="005F7836">
        <w:rPr>
          <w:rFonts w:cs="Arial"/>
          <w:lang w:val="ru-RU"/>
        </w:rPr>
        <w:t xml:space="preserve">национальных обществ стран </w:t>
      </w:r>
      <w:r w:rsidRPr="005F7836">
        <w:rPr>
          <w:rFonts w:cs="Arial"/>
          <w:lang w:val="ru-RU"/>
        </w:rPr>
        <w:t>Вос</w:t>
      </w:r>
      <w:r w:rsidR="004A1087" w:rsidRPr="005F7836">
        <w:rPr>
          <w:rFonts w:cs="Arial"/>
          <w:lang w:val="ru-RU"/>
        </w:rPr>
        <w:t>т</w:t>
      </w:r>
      <w:r w:rsidRPr="005F7836">
        <w:rPr>
          <w:rFonts w:cs="Arial"/>
          <w:lang w:val="ru-RU"/>
        </w:rPr>
        <w:t>очной Европы и Центральной Азии, Алматы, май 2017 года</w:t>
      </w:r>
      <w:r w:rsidR="00ED609A" w:rsidRPr="005F7836">
        <w:rPr>
          <w:rFonts w:cs="Arial"/>
          <w:lang w:val="ru-RU"/>
        </w:rPr>
        <w:t>;</w:t>
      </w:r>
    </w:p>
    <w:p w14:paraId="71169C55" w14:textId="495ACA23" w:rsidR="0090693B" w:rsidRPr="005F7836" w:rsidRDefault="002F3BB9" w:rsidP="00F02EAF">
      <w:pPr>
        <w:pStyle w:val="CoDBullet"/>
        <w:rPr>
          <w:rFonts w:cs="Arial"/>
          <w:lang w:val="ru-RU"/>
        </w:rPr>
      </w:pPr>
      <w:r w:rsidRPr="005F7836">
        <w:rPr>
          <w:rFonts w:cs="Arial"/>
          <w:lang w:val="ru-RU"/>
        </w:rPr>
        <w:t xml:space="preserve">Встреча членов </w:t>
      </w:r>
      <w:r w:rsidR="004A1087" w:rsidRPr="005F7836">
        <w:rPr>
          <w:rFonts w:cs="Arial"/>
          <w:lang w:val="ru-RU"/>
        </w:rPr>
        <w:t>Правления</w:t>
      </w:r>
      <w:r w:rsidRPr="005F7836">
        <w:rPr>
          <w:rFonts w:cs="Arial"/>
          <w:lang w:val="ru-RU"/>
        </w:rPr>
        <w:t xml:space="preserve"> МФОККиКП, Женева</w:t>
      </w:r>
      <w:r w:rsidR="00F35167" w:rsidRPr="005F7836">
        <w:rPr>
          <w:rFonts w:cs="Arial"/>
          <w:lang w:val="ru-RU"/>
        </w:rPr>
        <w:t>,</w:t>
      </w:r>
      <w:r w:rsidRPr="005F7836">
        <w:rPr>
          <w:rFonts w:cs="Arial"/>
          <w:lang w:val="ru-RU"/>
        </w:rPr>
        <w:t xml:space="preserve"> май</w:t>
      </w:r>
      <w:r w:rsidR="00F35167" w:rsidRPr="005F7836">
        <w:rPr>
          <w:rFonts w:cs="Arial"/>
          <w:lang w:val="ru-RU"/>
        </w:rPr>
        <w:t xml:space="preserve"> 2017</w:t>
      </w:r>
      <w:r w:rsidRPr="005F7836">
        <w:rPr>
          <w:rFonts w:cs="Arial"/>
          <w:lang w:val="ru-RU"/>
        </w:rPr>
        <w:t xml:space="preserve"> года</w:t>
      </w:r>
      <w:r w:rsidR="00ED609A" w:rsidRPr="005F7836">
        <w:rPr>
          <w:rFonts w:cs="Arial"/>
          <w:lang w:val="ru-RU"/>
        </w:rPr>
        <w:t>;</w:t>
      </w:r>
    </w:p>
    <w:p w14:paraId="0B78644A" w14:textId="1766919A" w:rsidR="0063451D" w:rsidRPr="005F7836" w:rsidRDefault="002F3BB9" w:rsidP="00F02EAF">
      <w:pPr>
        <w:pStyle w:val="CoDBullet"/>
        <w:rPr>
          <w:rFonts w:cs="Arial"/>
          <w:lang w:val="ru-RU"/>
        </w:rPr>
      </w:pPr>
      <w:r w:rsidRPr="005F7836">
        <w:rPr>
          <w:rFonts w:cs="Arial"/>
          <w:lang w:val="ru-RU"/>
        </w:rPr>
        <w:t>МККК</w:t>
      </w:r>
      <w:r w:rsidR="00ED609A" w:rsidRPr="005F7836">
        <w:rPr>
          <w:rFonts w:cs="Arial"/>
          <w:lang w:val="ru-RU"/>
        </w:rPr>
        <w:t>–</w:t>
      </w:r>
      <w:r w:rsidRPr="005F7836">
        <w:rPr>
          <w:rFonts w:cs="Arial"/>
          <w:lang w:val="ru-RU"/>
        </w:rPr>
        <w:t>НО партнерские встречи, Женева, февраль</w:t>
      </w:r>
      <w:r w:rsidR="0004264B" w:rsidRPr="005F7836">
        <w:rPr>
          <w:rFonts w:cs="Arial"/>
          <w:lang w:val="ru-RU"/>
        </w:rPr>
        <w:t xml:space="preserve"> 2016</w:t>
      </w:r>
      <w:r w:rsidRPr="005F7836">
        <w:rPr>
          <w:rFonts w:cs="Arial"/>
          <w:lang w:val="ru-RU"/>
        </w:rPr>
        <w:t xml:space="preserve"> года и февраль </w:t>
      </w:r>
      <w:r w:rsidR="0004264B" w:rsidRPr="005F7836">
        <w:rPr>
          <w:rFonts w:cs="Arial"/>
          <w:lang w:val="ru-RU"/>
        </w:rPr>
        <w:t xml:space="preserve"> 2017</w:t>
      </w:r>
      <w:r w:rsidRPr="005F7836">
        <w:rPr>
          <w:rFonts w:cs="Arial"/>
          <w:lang w:val="ru-RU"/>
        </w:rPr>
        <w:t xml:space="preserve"> года</w:t>
      </w:r>
      <w:r w:rsidR="002763DF" w:rsidRPr="005F7836">
        <w:rPr>
          <w:rFonts w:cs="Arial"/>
          <w:lang w:val="ru-RU"/>
        </w:rPr>
        <w:t>.</w:t>
      </w:r>
    </w:p>
    <w:p w14:paraId="7B06F63A" w14:textId="75FFE7A2" w:rsidR="0063451D" w:rsidRPr="005F7836" w:rsidRDefault="004A1087" w:rsidP="00F02EAF">
      <w:pPr>
        <w:pStyle w:val="CoDHeading2"/>
        <w:rPr>
          <w:rFonts w:cs="Arial"/>
          <w:lang w:val="ru-RU"/>
        </w:rPr>
      </w:pPr>
      <w:r w:rsidRPr="005F7836">
        <w:rPr>
          <w:rFonts w:cs="Arial"/>
          <w:lang w:val="ru-RU"/>
        </w:rPr>
        <w:lastRenderedPageBreak/>
        <w:t>опрос национальных обществ</w:t>
      </w:r>
    </w:p>
    <w:p w14:paraId="7764D34C" w14:textId="44D696C6" w:rsidR="001C26A0" w:rsidRPr="005F7836" w:rsidRDefault="00A04491" w:rsidP="00752A92">
      <w:pPr>
        <w:pStyle w:val="CoDNormal"/>
        <w:rPr>
          <w:rFonts w:cs="Arial"/>
          <w:lang w:val="ru-RU"/>
        </w:rPr>
      </w:pPr>
      <w:r w:rsidRPr="005F7836">
        <w:rPr>
          <w:rFonts w:cs="Arial"/>
          <w:lang w:val="ru-RU"/>
        </w:rPr>
        <w:t>На ранних этапах дискуссии в рамках встреч руководителей и технических специалистов</w:t>
      </w:r>
      <w:r w:rsidR="00D609E8" w:rsidRPr="005F7836">
        <w:rPr>
          <w:rFonts w:cs="Arial"/>
          <w:lang w:val="ru-RU"/>
        </w:rPr>
        <w:t xml:space="preserve"> национальных обществ</w:t>
      </w:r>
      <w:r w:rsidR="00390FDD" w:rsidRPr="005F7836">
        <w:rPr>
          <w:rFonts w:cs="Arial"/>
          <w:lang w:val="ru-RU"/>
        </w:rPr>
        <w:t xml:space="preserve">, МККК и МФОККиКП </w:t>
      </w:r>
      <w:r w:rsidR="0090693B" w:rsidRPr="005F7836">
        <w:rPr>
          <w:rFonts w:cs="Arial"/>
          <w:lang w:val="ru-RU"/>
        </w:rPr>
        <w:t xml:space="preserve"> </w:t>
      </w:r>
      <w:r w:rsidR="005D192F" w:rsidRPr="005F7836">
        <w:rPr>
          <w:rFonts w:cs="Arial"/>
          <w:lang w:val="ru-RU"/>
        </w:rPr>
        <w:t xml:space="preserve">было </w:t>
      </w:r>
      <w:r w:rsidR="00D351EA" w:rsidRPr="005F7836">
        <w:rPr>
          <w:rFonts w:cs="Arial"/>
          <w:lang w:val="ru-RU"/>
        </w:rPr>
        <w:t>предположено провести опрос национальных обществ</w:t>
      </w:r>
      <w:r w:rsidR="005D192F" w:rsidRPr="005F7836">
        <w:rPr>
          <w:rFonts w:cs="Arial"/>
          <w:lang w:val="ru-RU"/>
        </w:rPr>
        <w:t>, чтобы понять</w:t>
      </w:r>
      <w:r w:rsidR="00D351EA" w:rsidRPr="005F7836">
        <w:rPr>
          <w:rFonts w:cs="Arial"/>
          <w:lang w:val="ru-RU"/>
        </w:rPr>
        <w:t>, решению каких проблем должна послужить разработка концепции, принципов</w:t>
      </w:r>
      <w:r w:rsidR="005D192F" w:rsidRPr="005F7836">
        <w:rPr>
          <w:rFonts w:cs="Arial"/>
          <w:lang w:val="ru-RU"/>
        </w:rPr>
        <w:t xml:space="preserve"> и </w:t>
      </w:r>
      <w:r w:rsidR="00470355" w:rsidRPr="005F7836">
        <w:rPr>
          <w:rFonts w:cs="Arial"/>
          <w:lang w:val="ru-RU"/>
        </w:rPr>
        <w:t>инициатив по мо</w:t>
      </w:r>
      <w:r w:rsidR="005D192F" w:rsidRPr="005F7836">
        <w:rPr>
          <w:rFonts w:cs="Arial"/>
          <w:lang w:val="ru-RU"/>
        </w:rPr>
        <w:t>би</w:t>
      </w:r>
      <w:r w:rsidR="00470355" w:rsidRPr="005F7836">
        <w:rPr>
          <w:rFonts w:cs="Arial"/>
          <w:lang w:val="ru-RU"/>
        </w:rPr>
        <w:t>ли</w:t>
      </w:r>
      <w:r w:rsidR="005D192F" w:rsidRPr="005F7836">
        <w:rPr>
          <w:rFonts w:cs="Arial"/>
          <w:lang w:val="ru-RU"/>
        </w:rPr>
        <w:t xml:space="preserve">зации ресурсов в масштабах </w:t>
      </w:r>
      <w:r w:rsidR="00470355" w:rsidRPr="005F7836">
        <w:rPr>
          <w:rFonts w:cs="Arial"/>
          <w:lang w:val="ru-RU"/>
        </w:rPr>
        <w:t>Движения, и определить, согласны ли национальные общества с решениями, предлагаемыми Рабочей группой для увеличения потенциала  Движения в области привлечения</w:t>
      </w:r>
      <w:r w:rsidR="005D192F" w:rsidRPr="005F7836">
        <w:rPr>
          <w:rFonts w:cs="Arial"/>
          <w:lang w:val="ru-RU"/>
        </w:rPr>
        <w:t xml:space="preserve"> средств. </w:t>
      </w:r>
    </w:p>
    <w:p w14:paraId="655BFE35" w14:textId="27E94A7D" w:rsidR="00D1455B" w:rsidRPr="005F7836" w:rsidRDefault="001C26A0" w:rsidP="00752A92">
      <w:pPr>
        <w:pStyle w:val="CoDNormal"/>
        <w:rPr>
          <w:rFonts w:cs="Arial"/>
          <w:lang w:val="ru-RU"/>
        </w:rPr>
      </w:pPr>
      <w:r w:rsidRPr="005F7836">
        <w:rPr>
          <w:rFonts w:cs="Arial"/>
          <w:lang w:val="ru-RU"/>
        </w:rPr>
        <w:t xml:space="preserve">Авторы опроса ставили перед собой </w:t>
      </w:r>
      <w:r w:rsidR="005D192F" w:rsidRPr="005F7836">
        <w:rPr>
          <w:rFonts w:cs="Arial"/>
          <w:lang w:val="ru-RU"/>
        </w:rPr>
        <w:t>три основные цели</w:t>
      </w:r>
      <w:r w:rsidR="00752A92" w:rsidRPr="005F7836">
        <w:rPr>
          <w:rFonts w:cs="Arial"/>
          <w:lang w:val="ru-RU"/>
        </w:rPr>
        <w:t>:</w:t>
      </w:r>
    </w:p>
    <w:p w14:paraId="0B32A3DE" w14:textId="14380AA9" w:rsidR="00D1455B" w:rsidRPr="005F7836" w:rsidRDefault="001C26A0" w:rsidP="00752A92">
      <w:pPr>
        <w:pStyle w:val="CoDBullet"/>
        <w:rPr>
          <w:rFonts w:cs="Arial"/>
          <w:lang w:val="ru-RU"/>
        </w:rPr>
      </w:pPr>
      <w:r w:rsidRPr="005F7836">
        <w:rPr>
          <w:rFonts w:cs="Arial"/>
          <w:lang w:val="ru-RU"/>
        </w:rPr>
        <w:t xml:space="preserve">Обеспечить широкое участие в </w:t>
      </w:r>
      <w:r w:rsidR="00441F9B" w:rsidRPr="005F7836">
        <w:rPr>
          <w:rFonts w:cs="Arial"/>
          <w:lang w:val="ru-RU"/>
        </w:rPr>
        <w:t>к</w:t>
      </w:r>
      <w:r w:rsidRPr="005F7836">
        <w:rPr>
          <w:rFonts w:cs="Arial"/>
          <w:lang w:val="ru-RU"/>
        </w:rPr>
        <w:t>о</w:t>
      </w:r>
      <w:r w:rsidR="00441F9B" w:rsidRPr="005F7836">
        <w:rPr>
          <w:rFonts w:cs="Arial"/>
          <w:lang w:val="ru-RU"/>
        </w:rPr>
        <w:t>нсуль</w:t>
      </w:r>
      <w:r w:rsidRPr="005F7836">
        <w:rPr>
          <w:rFonts w:cs="Arial"/>
          <w:lang w:val="ru-RU"/>
        </w:rPr>
        <w:t>тациях с национальными обществами</w:t>
      </w:r>
      <w:r w:rsidR="0060532F" w:rsidRPr="005F7836">
        <w:rPr>
          <w:rFonts w:cs="Arial"/>
          <w:lang w:val="ru-RU"/>
        </w:rPr>
        <w:t xml:space="preserve"> для обсуждения проекта принципов мобили</w:t>
      </w:r>
      <w:r w:rsidR="00441F9B" w:rsidRPr="005F7836">
        <w:rPr>
          <w:rFonts w:cs="Arial"/>
          <w:lang w:val="ru-RU"/>
        </w:rPr>
        <w:t>з</w:t>
      </w:r>
      <w:r w:rsidR="0060532F" w:rsidRPr="005F7836">
        <w:rPr>
          <w:rFonts w:cs="Arial"/>
          <w:lang w:val="ru-RU"/>
        </w:rPr>
        <w:t>ации</w:t>
      </w:r>
      <w:r w:rsidR="00441F9B" w:rsidRPr="005F7836">
        <w:rPr>
          <w:rFonts w:cs="Arial"/>
          <w:lang w:val="ru-RU"/>
        </w:rPr>
        <w:t xml:space="preserve"> </w:t>
      </w:r>
      <w:r w:rsidR="0060532F" w:rsidRPr="005F7836">
        <w:rPr>
          <w:rFonts w:cs="Arial"/>
          <w:lang w:val="ru-RU"/>
        </w:rPr>
        <w:t>ресурсов</w:t>
      </w:r>
      <w:r w:rsidR="00E03139" w:rsidRPr="005F7836">
        <w:rPr>
          <w:rFonts w:cs="Arial"/>
          <w:lang w:val="ru-RU"/>
        </w:rPr>
        <w:t xml:space="preserve"> для всех </w:t>
      </w:r>
      <w:r w:rsidR="0060532F" w:rsidRPr="005F7836">
        <w:rPr>
          <w:rFonts w:cs="Arial"/>
          <w:lang w:val="ru-RU"/>
        </w:rPr>
        <w:t>участников</w:t>
      </w:r>
      <w:r w:rsidR="00E03139" w:rsidRPr="005F7836">
        <w:rPr>
          <w:rFonts w:cs="Arial"/>
          <w:lang w:val="ru-RU"/>
        </w:rPr>
        <w:t xml:space="preserve"> </w:t>
      </w:r>
      <w:r w:rsidR="0060532F" w:rsidRPr="005F7836">
        <w:rPr>
          <w:rFonts w:cs="Arial"/>
          <w:lang w:val="ru-RU"/>
        </w:rPr>
        <w:t xml:space="preserve">Движения </w:t>
      </w:r>
      <w:r w:rsidR="00D609E8" w:rsidRPr="005F7836">
        <w:rPr>
          <w:rFonts w:cs="Arial"/>
          <w:lang w:val="ru-RU"/>
        </w:rPr>
        <w:t>и тематических инициатив</w:t>
      </w:r>
      <w:r w:rsidR="00E03139" w:rsidRPr="005F7836">
        <w:rPr>
          <w:rFonts w:cs="Arial"/>
          <w:lang w:val="ru-RU"/>
        </w:rPr>
        <w:t xml:space="preserve"> </w:t>
      </w:r>
      <w:r w:rsidR="00D1455B" w:rsidRPr="005F7836">
        <w:rPr>
          <w:rFonts w:cs="Arial"/>
          <w:lang w:val="ru-RU"/>
        </w:rPr>
        <w:t>(</w:t>
      </w:r>
      <w:r w:rsidR="0060532F" w:rsidRPr="005F7836">
        <w:rPr>
          <w:rFonts w:cs="Arial"/>
          <w:lang w:val="ru-RU"/>
        </w:rPr>
        <w:t>создание виртуальной площадки по привлечению</w:t>
      </w:r>
      <w:r w:rsidR="00E03139" w:rsidRPr="005F7836">
        <w:rPr>
          <w:rFonts w:cs="Arial"/>
          <w:lang w:val="ru-RU"/>
        </w:rPr>
        <w:t xml:space="preserve"> средств</w:t>
      </w:r>
      <w:r w:rsidR="00D1455B" w:rsidRPr="005F7836">
        <w:rPr>
          <w:rFonts w:cs="Arial"/>
          <w:lang w:val="ru-RU"/>
        </w:rPr>
        <w:t>,</w:t>
      </w:r>
      <w:r w:rsidR="00E03139" w:rsidRPr="005F7836">
        <w:rPr>
          <w:rFonts w:cs="Arial"/>
          <w:lang w:val="ru-RU"/>
        </w:rPr>
        <w:t xml:space="preserve"> </w:t>
      </w:r>
      <w:r w:rsidR="0060532F" w:rsidRPr="005F7836">
        <w:rPr>
          <w:rFonts w:cs="Arial"/>
          <w:lang w:val="ru-RU"/>
        </w:rPr>
        <w:t>инвестиции</w:t>
      </w:r>
      <w:r w:rsidR="00E03139" w:rsidRPr="005F7836">
        <w:rPr>
          <w:rFonts w:cs="Arial"/>
          <w:lang w:val="ru-RU"/>
        </w:rPr>
        <w:t xml:space="preserve"> в привлечение </w:t>
      </w:r>
      <w:r w:rsidR="0060532F" w:rsidRPr="005F7836">
        <w:rPr>
          <w:rFonts w:cs="Arial"/>
          <w:lang w:val="ru-RU"/>
        </w:rPr>
        <w:t>средств</w:t>
      </w:r>
      <w:r w:rsidR="00D609E8" w:rsidRPr="005F7836">
        <w:rPr>
          <w:rFonts w:cs="Arial"/>
          <w:lang w:val="ru-RU"/>
        </w:rPr>
        <w:t>, а также</w:t>
      </w:r>
      <w:r w:rsidR="0060532F" w:rsidRPr="005F7836">
        <w:rPr>
          <w:rFonts w:cs="Arial"/>
          <w:lang w:val="ru-RU"/>
        </w:rPr>
        <w:t xml:space="preserve"> сбор и использование данных по эффективным методам привлечения средств)</w:t>
      </w:r>
      <w:r w:rsidR="00D1455B" w:rsidRPr="005F7836">
        <w:rPr>
          <w:rFonts w:cs="Arial"/>
          <w:lang w:val="ru-RU"/>
        </w:rPr>
        <w:t>;</w:t>
      </w:r>
    </w:p>
    <w:p w14:paraId="30C52635" w14:textId="6CA071FE" w:rsidR="00D1455B" w:rsidRPr="005F7836" w:rsidRDefault="0060532F" w:rsidP="00752A92">
      <w:pPr>
        <w:pStyle w:val="CoDBullet"/>
        <w:rPr>
          <w:rFonts w:cs="Arial"/>
          <w:lang w:val="ru-RU"/>
        </w:rPr>
      </w:pPr>
      <w:r w:rsidRPr="005F7836">
        <w:rPr>
          <w:rFonts w:cs="Arial"/>
          <w:lang w:val="ru-RU"/>
        </w:rPr>
        <w:t>Обеспечить учет местных условий работы национальных обществ по привлечению средств, а также усилий Движения в области мобилизации ресурсов на глобальном уровне при разработке трех тематических инициатив</w:t>
      </w:r>
      <w:r w:rsidR="00D1455B" w:rsidRPr="005F7836">
        <w:rPr>
          <w:rFonts w:cs="Arial"/>
          <w:lang w:val="ru-RU"/>
        </w:rPr>
        <w:t>;</w:t>
      </w:r>
    </w:p>
    <w:p w14:paraId="16579FB1" w14:textId="6FB50711" w:rsidR="00D1455B" w:rsidRPr="005F7836" w:rsidRDefault="0060532F" w:rsidP="00752A92">
      <w:pPr>
        <w:pStyle w:val="CoDBullet"/>
        <w:rPr>
          <w:rFonts w:cs="Arial"/>
          <w:lang w:val="ru-RU"/>
        </w:rPr>
      </w:pPr>
      <w:r w:rsidRPr="005F7836">
        <w:rPr>
          <w:rFonts w:cs="Arial"/>
          <w:lang w:val="ru-RU"/>
        </w:rPr>
        <w:t>Оказать влияние на будущую деятельность</w:t>
      </w:r>
      <w:r w:rsidR="00E03139" w:rsidRPr="005F7836">
        <w:rPr>
          <w:rFonts w:cs="Arial"/>
          <w:lang w:val="ru-RU"/>
        </w:rPr>
        <w:t xml:space="preserve"> в области глобальной мобилизации ресурсов</w:t>
      </w:r>
      <w:r w:rsidR="00653BF5" w:rsidRPr="005F7836">
        <w:rPr>
          <w:rFonts w:cs="Arial"/>
          <w:lang w:val="ru-RU"/>
        </w:rPr>
        <w:t xml:space="preserve"> после проведения</w:t>
      </w:r>
      <w:r w:rsidR="00E03139" w:rsidRPr="005F7836">
        <w:rPr>
          <w:rFonts w:cs="Arial"/>
          <w:lang w:val="ru-RU"/>
        </w:rPr>
        <w:t xml:space="preserve"> Совета</w:t>
      </w:r>
      <w:r w:rsidR="00653BF5" w:rsidRPr="005F7836">
        <w:rPr>
          <w:rFonts w:cs="Arial"/>
          <w:lang w:val="ru-RU"/>
        </w:rPr>
        <w:t xml:space="preserve"> де</w:t>
      </w:r>
      <w:r w:rsidR="00E03139" w:rsidRPr="005F7836">
        <w:rPr>
          <w:rFonts w:cs="Arial"/>
          <w:lang w:val="ru-RU"/>
        </w:rPr>
        <w:t>легатов в 2017 году</w:t>
      </w:r>
      <w:r w:rsidR="00D1455B" w:rsidRPr="005F7836">
        <w:rPr>
          <w:rFonts w:cs="Arial"/>
          <w:lang w:val="ru-RU"/>
        </w:rPr>
        <w:t>.</w:t>
      </w:r>
    </w:p>
    <w:p w14:paraId="399D70C2" w14:textId="3DFD48D5" w:rsidR="005F0422" w:rsidRPr="005F7836" w:rsidRDefault="00B0681C" w:rsidP="00752A92">
      <w:pPr>
        <w:pStyle w:val="CoDNormal"/>
        <w:rPr>
          <w:rFonts w:cs="Arial"/>
          <w:lang w:val="ru-RU"/>
        </w:rPr>
      </w:pPr>
      <w:r w:rsidRPr="005F7836">
        <w:rPr>
          <w:rFonts w:cs="Arial"/>
          <w:lang w:val="ru-RU"/>
        </w:rPr>
        <w:t>Опрос</w:t>
      </w:r>
      <w:r w:rsidR="00D1455B" w:rsidRPr="005F7836">
        <w:rPr>
          <w:rFonts w:cs="Arial"/>
          <w:lang w:val="ru-RU"/>
        </w:rPr>
        <w:t>,</w:t>
      </w:r>
      <w:r w:rsidR="00653BF5" w:rsidRPr="005F7836">
        <w:rPr>
          <w:rFonts w:cs="Arial"/>
          <w:lang w:val="ru-RU"/>
        </w:rPr>
        <w:t xml:space="preserve"> в рамках которого респондентам было предложено ответить на</w:t>
      </w:r>
      <w:r w:rsidRPr="005F7836">
        <w:rPr>
          <w:rFonts w:cs="Arial"/>
          <w:lang w:val="ru-RU"/>
        </w:rPr>
        <w:t xml:space="preserve"> 25 открытых и закрытых вопросов</w:t>
      </w:r>
      <w:r w:rsidR="00D1455B" w:rsidRPr="005F7836">
        <w:rPr>
          <w:rFonts w:cs="Arial"/>
          <w:lang w:val="ru-RU"/>
        </w:rPr>
        <w:t>,</w:t>
      </w:r>
      <w:r w:rsidR="00653BF5" w:rsidRPr="005F7836">
        <w:rPr>
          <w:rFonts w:cs="Arial"/>
          <w:lang w:val="ru-RU"/>
        </w:rPr>
        <w:t xml:space="preserve"> был размещен в открытом</w:t>
      </w:r>
      <w:r w:rsidRPr="005F7836">
        <w:rPr>
          <w:rFonts w:cs="Arial"/>
          <w:lang w:val="ru-RU"/>
        </w:rPr>
        <w:t xml:space="preserve"> доступе</w:t>
      </w:r>
      <w:r w:rsidR="00653BF5" w:rsidRPr="005F7836">
        <w:rPr>
          <w:rFonts w:cs="Arial"/>
          <w:lang w:val="ru-RU"/>
        </w:rPr>
        <w:t xml:space="preserve"> в сети Интернет</w:t>
      </w:r>
      <w:r w:rsidR="00A46B55" w:rsidRPr="005F7836">
        <w:rPr>
          <w:rFonts w:cs="Arial"/>
          <w:lang w:val="ru-RU"/>
        </w:rPr>
        <w:t>,</w:t>
      </w:r>
      <w:r w:rsidR="00653BF5" w:rsidRPr="005F7836">
        <w:rPr>
          <w:rFonts w:cs="Arial"/>
          <w:lang w:val="ru-RU"/>
        </w:rPr>
        <w:t xml:space="preserve"> а также распространен на бумажном носителе</w:t>
      </w:r>
      <w:r w:rsidRPr="005F7836">
        <w:rPr>
          <w:rFonts w:cs="Arial"/>
          <w:lang w:val="ru-RU"/>
        </w:rPr>
        <w:t xml:space="preserve"> в формате </w:t>
      </w:r>
      <w:r w:rsidR="00653BF5" w:rsidRPr="005F7836">
        <w:rPr>
          <w:rFonts w:cs="Arial"/>
          <w:lang w:val="ru-RU"/>
        </w:rPr>
        <w:t>W</w:t>
      </w:r>
      <w:r w:rsidRPr="005F7836">
        <w:rPr>
          <w:rFonts w:cs="Arial"/>
          <w:lang w:val="ru-RU"/>
        </w:rPr>
        <w:t>ord на пяти языках (арабском, английском, французском, русском и испанском</w:t>
      </w:r>
      <w:r w:rsidR="005F0422" w:rsidRPr="005F7836">
        <w:rPr>
          <w:rFonts w:cs="Arial"/>
          <w:lang w:val="ru-RU"/>
        </w:rPr>
        <w:t xml:space="preserve">). МККК и МФОККиКП направили </w:t>
      </w:r>
      <w:r w:rsidR="00653BF5" w:rsidRPr="005F7836">
        <w:rPr>
          <w:rFonts w:cs="Arial"/>
          <w:lang w:val="ru-RU"/>
        </w:rPr>
        <w:t>электронные письма руководителями всех национальных обществ, чтобы проинформировать их о проведении опроса и попросить руководителей старшего звена  заполнить</w:t>
      </w:r>
      <w:r w:rsidR="005F0422" w:rsidRPr="005F7836">
        <w:rPr>
          <w:rFonts w:cs="Arial"/>
          <w:lang w:val="ru-RU"/>
        </w:rPr>
        <w:t xml:space="preserve"> опросник</w:t>
      </w:r>
      <w:r w:rsidR="000E35C3" w:rsidRPr="005F7836">
        <w:rPr>
          <w:rFonts w:cs="Arial"/>
          <w:lang w:val="ru-RU"/>
        </w:rPr>
        <w:t xml:space="preserve"> </w:t>
      </w:r>
      <w:r w:rsidR="00653BF5" w:rsidRPr="005F7836">
        <w:rPr>
          <w:rFonts w:cs="Arial"/>
          <w:lang w:val="ru-RU"/>
        </w:rPr>
        <w:t>и распространить его посредством технических и оперативных ка</w:t>
      </w:r>
      <w:r w:rsidR="005F0422" w:rsidRPr="005F7836">
        <w:rPr>
          <w:rFonts w:cs="Arial"/>
          <w:lang w:val="ru-RU"/>
        </w:rPr>
        <w:t>н</w:t>
      </w:r>
      <w:r w:rsidR="00653BF5" w:rsidRPr="005F7836">
        <w:rPr>
          <w:rFonts w:cs="Arial"/>
          <w:lang w:val="ru-RU"/>
        </w:rPr>
        <w:t>алов на местах</w:t>
      </w:r>
      <w:r w:rsidR="005F3DB1" w:rsidRPr="005F7836">
        <w:rPr>
          <w:rFonts w:cs="Arial"/>
          <w:lang w:val="ru-RU"/>
        </w:rPr>
        <w:t>. Доступ к о</w:t>
      </w:r>
      <w:r w:rsidR="005F0422" w:rsidRPr="005F7836">
        <w:rPr>
          <w:rFonts w:cs="Arial"/>
          <w:lang w:val="ru-RU"/>
        </w:rPr>
        <w:t>просник</w:t>
      </w:r>
      <w:r w:rsidR="005F3DB1" w:rsidRPr="005F7836">
        <w:rPr>
          <w:rFonts w:cs="Arial"/>
          <w:lang w:val="ru-RU"/>
        </w:rPr>
        <w:t>у</w:t>
      </w:r>
      <w:r w:rsidR="005F0422" w:rsidRPr="005F7836">
        <w:rPr>
          <w:rFonts w:cs="Arial"/>
          <w:lang w:val="ru-RU"/>
        </w:rPr>
        <w:t xml:space="preserve"> </w:t>
      </w:r>
      <w:r w:rsidR="005F3DB1" w:rsidRPr="005F7836">
        <w:rPr>
          <w:rFonts w:cs="Arial"/>
          <w:lang w:val="ru-RU"/>
        </w:rPr>
        <w:t xml:space="preserve">в сети Интернет </w:t>
      </w:r>
      <w:r w:rsidR="005F0422" w:rsidRPr="005F7836">
        <w:rPr>
          <w:rFonts w:cs="Arial"/>
          <w:lang w:val="ru-RU"/>
        </w:rPr>
        <w:t>был</w:t>
      </w:r>
      <w:r w:rsidR="005F3DB1" w:rsidRPr="005F7836">
        <w:rPr>
          <w:rFonts w:cs="Arial"/>
          <w:lang w:val="ru-RU"/>
        </w:rPr>
        <w:t xml:space="preserve"> открыт на протяжении</w:t>
      </w:r>
      <w:r w:rsidR="005F0422" w:rsidRPr="005F7836">
        <w:rPr>
          <w:rFonts w:cs="Arial"/>
          <w:lang w:val="ru-RU"/>
        </w:rPr>
        <w:t xml:space="preserve"> 5 недель </w:t>
      </w:r>
      <w:r w:rsidR="005F3DB1" w:rsidRPr="005F7836">
        <w:rPr>
          <w:rFonts w:cs="Arial"/>
          <w:lang w:val="ru-RU"/>
        </w:rPr>
        <w:t xml:space="preserve">– </w:t>
      </w:r>
      <w:r w:rsidR="005F0422" w:rsidRPr="005F7836">
        <w:rPr>
          <w:rFonts w:cs="Arial"/>
          <w:lang w:val="ru-RU"/>
        </w:rPr>
        <w:t xml:space="preserve">с 29 марта до 28 апреля 2017 года. </w:t>
      </w:r>
    </w:p>
    <w:p w14:paraId="0CB9F306" w14:textId="0A8CC434" w:rsidR="00D81B92" w:rsidRPr="005F7836" w:rsidRDefault="005F0422" w:rsidP="00752A92">
      <w:pPr>
        <w:pStyle w:val="CoDNormal"/>
        <w:rPr>
          <w:rFonts w:cs="Arial"/>
          <w:lang w:val="ru-RU"/>
        </w:rPr>
      </w:pPr>
      <w:r w:rsidRPr="005F7836">
        <w:rPr>
          <w:rFonts w:cs="Arial"/>
          <w:lang w:val="ru-RU"/>
        </w:rPr>
        <w:t>В общей сложности было получено 93 ответа</w:t>
      </w:r>
      <w:r w:rsidR="000E35C3" w:rsidRPr="005F7836">
        <w:rPr>
          <w:rFonts w:cs="Arial"/>
          <w:lang w:val="ru-RU"/>
        </w:rPr>
        <w:t xml:space="preserve"> (67 </w:t>
      </w:r>
      <w:r w:rsidR="00D81B92" w:rsidRPr="005F7836">
        <w:rPr>
          <w:rFonts w:cs="Arial"/>
          <w:lang w:val="ru-RU"/>
        </w:rPr>
        <w:t>на английском</w:t>
      </w:r>
      <w:r w:rsidR="000E35C3" w:rsidRPr="005F7836">
        <w:rPr>
          <w:rFonts w:cs="Arial"/>
          <w:lang w:val="ru-RU"/>
        </w:rPr>
        <w:t xml:space="preserve">, 11 </w:t>
      </w:r>
      <w:r w:rsidR="00D81B92" w:rsidRPr="005F7836">
        <w:rPr>
          <w:rFonts w:cs="Arial"/>
          <w:lang w:val="ru-RU"/>
        </w:rPr>
        <w:t>на французском</w:t>
      </w:r>
      <w:r w:rsidR="000E35C3" w:rsidRPr="005F7836">
        <w:rPr>
          <w:rFonts w:cs="Arial"/>
          <w:lang w:val="ru-RU"/>
        </w:rPr>
        <w:t xml:space="preserve">, 7 </w:t>
      </w:r>
      <w:r w:rsidR="00D81B92" w:rsidRPr="005F7836">
        <w:rPr>
          <w:rFonts w:cs="Arial"/>
          <w:lang w:val="ru-RU"/>
        </w:rPr>
        <w:t xml:space="preserve"> - на испанском</w:t>
      </w:r>
      <w:r w:rsidR="000E35C3" w:rsidRPr="005F7836">
        <w:rPr>
          <w:rFonts w:cs="Arial"/>
          <w:lang w:val="ru-RU"/>
        </w:rPr>
        <w:t xml:space="preserve">, 4 </w:t>
      </w:r>
      <w:r w:rsidR="00D81B92" w:rsidRPr="005F7836">
        <w:rPr>
          <w:rFonts w:cs="Arial"/>
          <w:lang w:val="ru-RU"/>
        </w:rPr>
        <w:t xml:space="preserve">– на </w:t>
      </w:r>
      <w:r w:rsidR="005F3DB1" w:rsidRPr="005F7836">
        <w:rPr>
          <w:rFonts w:cs="Arial"/>
          <w:lang w:val="ru-RU"/>
        </w:rPr>
        <w:t>русском</w:t>
      </w:r>
      <w:r w:rsidR="007A490F" w:rsidRPr="005F7836">
        <w:rPr>
          <w:rFonts w:cs="Arial"/>
          <w:lang w:val="ru-RU"/>
        </w:rPr>
        <w:t xml:space="preserve"> </w:t>
      </w:r>
      <w:r w:rsidR="00D81B92" w:rsidRPr="005F7836">
        <w:rPr>
          <w:rFonts w:cs="Arial"/>
          <w:lang w:val="ru-RU"/>
        </w:rPr>
        <w:t>и</w:t>
      </w:r>
      <w:r w:rsidR="000E35C3" w:rsidRPr="005F7836">
        <w:rPr>
          <w:rFonts w:cs="Arial"/>
          <w:lang w:val="ru-RU"/>
        </w:rPr>
        <w:t xml:space="preserve"> 4 </w:t>
      </w:r>
      <w:r w:rsidR="00D81B92" w:rsidRPr="005F7836">
        <w:rPr>
          <w:rFonts w:cs="Arial"/>
          <w:lang w:val="ru-RU"/>
        </w:rPr>
        <w:t>– на арабском</w:t>
      </w:r>
      <w:r w:rsidR="005F3DB1" w:rsidRPr="005F7836">
        <w:rPr>
          <w:rFonts w:cs="Arial"/>
          <w:lang w:val="ru-RU"/>
        </w:rPr>
        <w:t xml:space="preserve"> языке</w:t>
      </w:r>
      <w:r w:rsidR="000E35C3" w:rsidRPr="005F7836">
        <w:rPr>
          <w:rFonts w:cs="Arial"/>
          <w:lang w:val="ru-RU"/>
        </w:rPr>
        <w:t>).</w:t>
      </w:r>
      <w:r w:rsidR="00D81B92" w:rsidRPr="005F7836">
        <w:rPr>
          <w:rFonts w:cs="Arial"/>
          <w:lang w:val="ru-RU"/>
        </w:rPr>
        <w:t xml:space="preserve"> Это составляет</w:t>
      </w:r>
      <w:r w:rsidR="000E35C3" w:rsidRPr="005F7836">
        <w:rPr>
          <w:rFonts w:cs="Arial"/>
          <w:lang w:val="ru-RU"/>
        </w:rPr>
        <w:t xml:space="preserve"> 49% </w:t>
      </w:r>
      <w:r w:rsidR="00D81B92" w:rsidRPr="005F7836">
        <w:rPr>
          <w:rFonts w:cs="Arial"/>
          <w:lang w:val="ru-RU"/>
        </w:rPr>
        <w:t xml:space="preserve"> от всех </w:t>
      </w:r>
      <w:r w:rsidR="005F3DB1" w:rsidRPr="005F7836">
        <w:rPr>
          <w:rFonts w:cs="Arial"/>
          <w:lang w:val="ru-RU"/>
        </w:rPr>
        <w:t>признанных национальных обществ</w:t>
      </w:r>
      <w:r w:rsidR="00D81B92" w:rsidRPr="005F7836">
        <w:rPr>
          <w:rFonts w:cs="Arial"/>
          <w:lang w:val="ru-RU"/>
        </w:rPr>
        <w:t xml:space="preserve"> (190)</w:t>
      </w:r>
      <w:r w:rsidR="005F3DB1" w:rsidRPr="005F7836">
        <w:rPr>
          <w:rFonts w:cs="Arial"/>
          <w:lang w:val="ru-RU"/>
        </w:rPr>
        <w:t>.</w:t>
      </w:r>
    </w:p>
    <w:p w14:paraId="5ED75386" w14:textId="52E9AB28" w:rsidR="00D81B92" w:rsidRPr="005F7836" w:rsidRDefault="005F3DB1" w:rsidP="00752A92">
      <w:pPr>
        <w:pStyle w:val="CoDNormal"/>
        <w:rPr>
          <w:rFonts w:cs="Arial"/>
          <w:lang w:val="ru-RU"/>
        </w:rPr>
      </w:pPr>
      <w:r w:rsidRPr="005F7836">
        <w:rPr>
          <w:rFonts w:cs="Arial"/>
          <w:lang w:val="ru-RU"/>
        </w:rPr>
        <w:t>Стратегия</w:t>
      </w:r>
      <w:r w:rsidR="00D81B92" w:rsidRPr="005F7836">
        <w:rPr>
          <w:rFonts w:cs="Arial"/>
          <w:lang w:val="ru-RU"/>
        </w:rPr>
        <w:t xml:space="preserve"> составления выборки, избранная для </w:t>
      </w:r>
      <w:r w:rsidRPr="005F7836">
        <w:rPr>
          <w:rFonts w:cs="Arial"/>
          <w:lang w:val="ru-RU"/>
        </w:rPr>
        <w:t>проведения</w:t>
      </w:r>
      <w:r w:rsidR="00D81B92" w:rsidRPr="005F7836">
        <w:rPr>
          <w:rFonts w:cs="Arial"/>
          <w:lang w:val="ru-RU"/>
        </w:rPr>
        <w:t xml:space="preserve"> </w:t>
      </w:r>
      <w:r w:rsidRPr="005F7836">
        <w:rPr>
          <w:rFonts w:cs="Arial"/>
          <w:lang w:val="ru-RU"/>
        </w:rPr>
        <w:t xml:space="preserve">опроса </w:t>
      </w:r>
      <w:r w:rsidR="00D81B92" w:rsidRPr="005F7836">
        <w:rPr>
          <w:rFonts w:cs="Arial"/>
          <w:lang w:val="ru-RU"/>
        </w:rPr>
        <w:t xml:space="preserve">заключалась в том, чтобы </w:t>
      </w:r>
      <w:r w:rsidRPr="005F7836">
        <w:rPr>
          <w:rFonts w:cs="Arial"/>
          <w:lang w:val="ru-RU"/>
        </w:rPr>
        <w:t>обеспечить</w:t>
      </w:r>
      <w:r w:rsidR="00A13D7A" w:rsidRPr="005F7836">
        <w:rPr>
          <w:rFonts w:cs="Arial"/>
          <w:lang w:val="ru-RU"/>
        </w:rPr>
        <w:t xml:space="preserve"> показатели реагирования на уровне </w:t>
      </w:r>
      <w:r w:rsidR="00D81B92" w:rsidRPr="005F7836">
        <w:rPr>
          <w:rFonts w:cs="Arial"/>
          <w:lang w:val="ru-RU"/>
        </w:rPr>
        <w:t>30%</w:t>
      </w:r>
      <w:r w:rsidRPr="005F7836">
        <w:rPr>
          <w:rFonts w:cs="Arial"/>
          <w:lang w:val="ru-RU"/>
        </w:rPr>
        <w:t xml:space="preserve"> </w:t>
      </w:r>
      <w:r w:rsidR="00A13D7A" w:rsidRPr="005F7836">
        <w:rPr>
          <w:rFonts w:cs="Arial"/>
          <w:lang w:val="ru-RU"/>
        </w:rPr>
        <w:t>(т.е. получить ответы от 56 национальных обществ</w:t>
      </w:r>
      <w:r w:rsidR="00D81B92" w:rsidRPr="005F7836">
        <w:rPr>
          <w:rFonts w:cs="Arial"/>
          <w:lang w:val="ru-RU"/>
        </w:rPr>
        <w:t xml:space="preserve"> </w:t>
      </w:r>
      <w:r w:rsidR="00A13D7A" w:rsidRPr="005F7836">
        <w:rPr>
          <w:rFonts w:cs="Arial"/>
          <w:lang w:val="ru-RU"/>
        </w:rPr>
        <w:t>из всех географических регионов</w:t>
      </w:r>
      <w:r w:rsidR="00A0176D" w:rsidRPr="005F7836">
        <w:rPr>
          <w:rFonts w:cs="Arial"/>
          <w:lang w:val="ru-RU"/>
        </w:rPr>
        <w:t>)</w:t>
      </w:r>
      <w:r w:rsidR="00A13D7A" w:rsidRPr="005F7836">
        <w:rPr>
          <w:rFonts w:cs="Arial"/>
          <w:lang w:val="ru-RU"/>
        </w:rPr>
        <w:t xml:space="preserve">. Это позволило бы </w:t>
      </w:r>
      <w:r w:rsidR="00D81B92" w:rsidRPr="005F7836">
        <w:rPr>
          <w:rFonts w:cs="Arial"/>
          <w:lang w:val="ru-RU"/>
        </w:rPr>
        <w:t>обеспечит</w:t>
      </w:r>
      <w:r w:rsidR="00A13D7A" w:rsidRPr="005F7836">
        <w:rPr>
          <w:rFonts w:cs="Arial"/>
          <w:lang w:val="ru-RU"/>
        </w:rPr>
        <w:t>ь репрезентативность опроса. Намеченный</w:t>
      </w:r>
      <w:r w:rsidR="00D81B92" w:rsidRPr="005F7836">
        <w:rPr>
          <w:rFonts w:cs="Arial"/>
          <w:lang w:val="ru-RU"/>
        </w:rPr>
        <w:t xml:space="preserve"> показатель был превышен во всех р</w:t>
      </w:r>
      <w:r w:rsidR="00A13D7A" w:rsidRPr="005F7836">
        <w:rPr>
          <w:rFonts w:cs="Arial"/>
          <w:lang w:val="ru-RU"/>
        </w:rPr>
        <w:t xml:space="preserve">егионах, как видно из </w:t>
      </w:r>
      <w:r w:rsidR="00D81B92" w:rsidRPr="005F7836">
        <w:rPr>
          <w:rFonts w:cs="Arial"/>
          <w:lang w:val="ru-RU"/>
        </w:rPr>
        <w:t>таблицы</w:t>
      </w:r>
      <w:r w:rsidR="00A13D7A" w:rsidRPr="005F7836">
        <w:rPr>
          <w:rFonts w:cs="Arial"/>
          <w:lang w:val="ru-RU"/>
        </w:rPr>
        <w:t xml:space="preserve"> ниже</w:t>
      </w:r>
      <w:r w:rsidR="00D81B92" w:rsidRPr="005F7836">
        <w:rPr>
          <w:rFonts w:cs="Arial"/>
          <w:lang w:val="ru-RU"/>
        </w:rPr>
        <w:t>:</w:t>
      </w:r>
    </w:p>
    <w:p w14:paraId="28624D6B" w14:textId="69CD2AA3" w:rsidR="00287502" w:rsidRPr="005F7836" w:rsidRDefault="00287502" w:rsidP="00752A92">
      <w:pPr>
        <w:pStyle w:val="CoDNormal"/>
        <w:rPr>
          <w:rFonts w:cs="Arial"/>
          <w:lang w:val="ru-RU"/>
        </w:rPr>
      </w:pPr>
    </w:p>
    <w:p w14:paraId="7EB6067B" w14:textId="77777777" w:rsidR="00A13D7A" w:rsidRPr="005F7836" w:rsidRDefault="00A13D7A" w:rsidP="00752A92">
      <w:pPr>
        <w:pStyle w:val="CoDNormal"/>
        <w:rPr>
          <w:rFonts w:cs="Arial"/>
          <w:lang w:val="ru-RU"/>
        </w:rPr>
      </w:pPr>
    </w:p>
    <w:tbl>
      <w:tblPr>
        <w:tblStyle w:val="GridTable4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59"/>
        <w:gridCol w:w="1560"/>
        <w:gridCol w:w="1731"/>
        <w:gridCol w:w="1572"/>
        <w:gridCol w:w="1560"/>
      </w:tblGrid>
      <w:tr w:rsidR="0077200F" w:rsidRPr="005F7836" w14:paraId="5832B11F" w14:textId="77777777" w:rsidTr="00287502">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859" w:type="dxa"/>
            <w:tcBorders>
              <w:top w:val="single" w:sz="4" w:space="0" w:color="FFFFFF"/>
              <w:left w:val="single" w:sz="4" w:space="0" w:color="FFFFFF"/>
              <w:bottom w:val="single" w:sz="4" w:space="0" w:color="FFFFFF"/>
              <w:right w:val="single" w:sz="4" w:space="0" w:color="FFFFFF"/>
            </w:tcBorders>
          </w:tcPr>
          <w:p w14:paraId="491B7000" w14:textId="7AA94D35" w:rsidR="00287502" w:rsidRPr="005F7836" w:rsidRDefault="00313376" w:rsidP="00D81B92">
            <w:pPr>
              <w:rPr>
                <w:rFonts w:ascii="Arial" w:eastAsia="MS Mincho" w:hAnsi="Arial" w:cs="Arial"/>
                <w:sz w:val="22"/>
                <w:szCs w:val="22"/>
                <w:lang w:val="ru-RU" w:eastAsia="ar-SA"/>
              </w:rPr>
            </w:pPr>
            <w:r w:rsidRPr="005F7836">
              <w:rPr>
                <w:rFonts w:ascii="Arial" w:hAnsi="Arial" w:cs="Arial"/>
                <w:sz w:val="22"/>
                <w:szCs w:val="22"/>
                <w:lang w:val="ru-RU"/>
              </w:rPr>
              <w:br w:type="page"/>
            </w:r>
            <w:r w:rsidR="00D81B92" w:rsidRPr="005F7836">
              <w:rPr>
                <w:rFonts w:ascii="Arial" w:eastAsia="MS Mincho" w:hAnsi="Arial" w:cs="Arial"/>
                <w:sz w:val="22"/>
                <w:szCs w:val="22"/>
                <w:lang w:val="ru-RU" w:eastAsia="ar-SA"/>
              </w:rPr>
              <w:t>Регион</w:t>
            </w:r>
            <w:r w:rsidR="00287502" w:rsidRPr="005F7836">
              <w:rPr>
                <w:rFonts w:ascii="Arial" w:eastAsia="MS Mincho" w:hAnsi="Arial" w:cs="Arial"/>
                <w:sz w:val="22"/>
                <w:szCs w:val="22"/>
                <w:lang w:val="ru-RU" w:eastAsia="ar-SA"/>
              </w:rPr>
              <w:t xml:space="preserve"> </w:t>
            </w:r>
          </w:p>
        </w:tc>
        <w:tc>
          <w:tcPr>
            <w:tcW w:w="1272" w:type="dxa"/>
            <w:tcBorders>
              <w:top w:val="single" w:sz="4" w:space="0" w:color="FFFFFF"/>
              <w:left w:val="single" w:sz="4" w:space="0" w:color="FFFFFF"/>
              <w:bottom w:val="single" w:sz="4" w:space="0" w:color="FFFFFF"/>
              <w:right w:val="single" w:sz="4" w:space="0" w:color="FFFFFF"/>
            </w:tcBorders>
          </w:tcPr>
          <w:p w14:paraId="3CA47D67" w14:textId="6BE8E83C" w:rsidR="00287502" w:rsidRPr="005F7836" w:rsidRDefault="00D81B92" w:rsidP="003F002F">
            <w:pPr>
              <w:suppressAutoHyphens/>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No. признанных НО на регион</w:t>
            </w:r>
          </w:p>
        </w:tc>
        <w:tc>
          <w:tcPr>
            <w:tcW w:w="1217" w:type="dxa"/>
            <w:tcBorders>
              <w:top w:val="single" w:sz="4" w:space="0" w:color="FFFFFF"/>
              <w:left w:val="single" w:sz="4" w:space="0" w:color="FFFFFF"/>
              <w:bottom w:val="single" w:sz="4" w:space="0" w:color="FFFFFF"/>
              <w:right w:val="single" w:sz="4" w:space="0" w:color="FFFFFF"/>
            </w:tcBorders>
          </w:tcPr>
          <w:p w14:paraId="0D6BA440" w14:textId="789F99DE" w:rsidR="00287502" w:rsidRPr="005F7836" w:rsidRDefault="00D81B92" w:rsidP="003F002F">
            <w:pPr>
              <w:suppressAutoHyphens/>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No. ожидавшихся ответов</w:t>
            </w:r>
          </w:p>
        </w:tc>
        <w:tc>
          <w:tcPr>
            <w:tcW w:w="1244" w:type="dxa"/>
            <w:tcBorders>
              <w:top w:val="single" w:sz="4" w:space="0" w:color="FFFFFF"/>
              <w:left w:val="single" w:sz="4" w:space="0" w:color="FFFFFF"/>
              <w:bottom w:val="single" w:sz="4" w:space="0" w:color="FFFFFF"/>
              <w:right w:val="single" w:sz="4" w:space="0" w:color="FFFFFF"/>
            </w:tcBorders>
          </w:tcPr>
          <w:p w14:paraId="7588D7D4" w14:textId="20E25BCA" w:rsidR="00287502" w:rsidRPr="005F7836" w:rsidRDefault="00D81B92" w:rsidP="003F002F">
            <w:pPr>
              <w:suppressAutoHyphens/>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No. получе</w:t>
            </w:r>
            <w:r w:rsidR="00A13D7A" w:rsidRPr="005F7836">
              <w:rPr>
                <w:rFonts w:ascii="Arial" w:eastAsia="MS Mincho" w:hAnsi="Arial" w:cs="Arial"/>
                <w:sz w:val="22"/>
                <w:szCs w:val="22"/>
                <w:lang w:val="ru-RU" w:eastAsia="ar-SA"/>
              </w:rPr>
              <w:t>н</w:t>
            </w:r>
            <w:r w:rsidRPr="005F7836">
              <w:rPr>
                <w:rFonts w:ascii="Arial" w:eastAsia="MS Mincho" w:hAnsi="Arial" w:cs="Arial"/>
                <w:sz w:val="22"/>
                <w:szCs w:val="22"/>
                <w:lang w:val="ru-RU" w:eastAsia="ar-SA"/>
              </w:rPr>
              <w:t>ных ответов</w:t>
            </w:r>
          </w:p>
        </w:tc>
        <w:tc>
          <w:tcPr>
            <w:tcW w:w="1489" w:type="dxa"/>
            <w:tcBorders>
              <w:top w:val="single" w:sz="4" w:space="0" w:color="FFFFFF"/>
              <w:left w:val="single" w:sz="4" w:space="0" w:color="FFFFFF"/>
              <w:bottom w:val="single" w:sz="4" w:space="0" w:color="FFFFFF"/>
              <w:right w:val="single" w:sz="4" w:space="0" w:color="FFFFFF"/>
            </w:tcBorders>
          </w:tcPr>
          <w:p w14:paraId="1DCCE324" w14:textId="26103918" w:rsidR="00287502" w:rsidRPr="005F7836" w:rsidRDefault="00D81B92" w:rsidP="003F002F">
            <w:pPr>
              <w:suppressAutoHyphens/>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 ответивших признанных НО</w:t>
            </w:r>
          </w:p>
        </w:tc>
      </w:tr>
      <w:tr w:rsidR="0077200F" w:rsidRPr="005F7836" w14:paraId="7E7CB24E" w14:textId="77777777" w:rsidTr="00287502">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859" w:type="dxa"/>
            <w:tcBorders>
              <w:top w:val="single" w:sz="4" w:space="0" w:color="FFFFFF"/>
            </w:tcBorders>
            <w:shd w:val="clear" w:color="auto" w:fill="A6A6A6"/>
          </w:tcPr>
          <w:p w14:paraId="2BC1D252" w14:textId="44581071" w:rsidR="00287502" w:rsidRPr="005F7836" w:rsidRDefault="00D81B92" w:rsidP="003F002F">
            <w:pPr>
              <w:rPr>
                <w:rFonts w:ascii="Arial" w:eastAsia="MS Mincho" w:hAnsi="Arial" w:cs="Arial"/>
                <w:color w:val="FFFFFF"/>
                <w:sz w:val="22"/>
                <w:szCs w:val="22"/>
                <w:lang w:val="ru-RU" w:eastAsia="ar-SA"/>
              </w:rPr>
            </w:pPr>
            <w:r w:rsidRPr="005F7836">
              <w:rPr>
                <w:rFonts w:ascii="Arial" w:eastAsia="MS Mincho" w:hAnsi="Arial" w:cs="Arial"/>
                <w:color w:val="FFFFFF"/>
                <w:sz w:val="22"/>
                <w:szCs w:val="22"/>
                <w:lang w:val="ru-RU" w:eastAsia="ar-SA"/>
              </w:rPr>
              <w:t>Африка</w:t>
            </w:r>
          </w:p>
        </w:tc>
        <w:tc>
          <w:tcPr>
            <w:tcW w:w="1272" w:type="dxa"/>
            <w:tcBorders>
              <w:top w:val="single" w:sz="4" w:space="0" w:color="FFFFFF"/>
            </w:tcBorders>
            <w:shd w:val="clear" w:color="auto" w:fill="D9D9D9"/>
          </w:tcPr>
          <w:p w14:paraId="45AE6862"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49</w:t>
            </w:r>
          </w:p>
        </w:tc>
        <w:tc>
          <w:tcPr>
            <w:tcW w:w="1217" w:type="dxa"/>
            <w:tcBorders>
              <w:top w:val="single" w:sz="4" w:space="0" w:color="FFFFFF"/>
            </w:tcBorders>
            <w:shd w:val="clear" w:color="auto" w:fill="D9D9D9"/>
          </w:tcPr>
          <w:p w14:paraId="4EE75436"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15</w:t>
            </w:r>
          </w:p>
        </w:tc>
        <w:tc>
          <w:tcPr>
            <w:tcW w:w="1244" w:type="dxa"/>
            <w:tcBorders>
              <w:top w:val="single" w:sz="4" w:space="0" w:color="FFFFFF"/>
            </w:tcBorders>
            <w:shd w:val="clear" w:color="auto" w:fill="D9D9D9"/>
          </w:tcPr>
          <w:p w14:paraId="1B9688F1"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21</w:t>
            </w:r>
          </w:p>
        </w:tc>
        <w:tc>
          <w:tcPr>
            <w:tcW w:w="1489" w:type="dxa"/>
            <w:tcBorders>
              <w:top w:val="single" w:sz="4" w:space="0" w:color="FFFFFF"/>
            </w:tcBorders>
            <w:shd w:val="clear" w:color="auto" w:fill="D9D9D9"/>
          </w:tcPr>
          <w:p w14:paraId="7910398C"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43%</w:t>
            </w:r>
          </w:p>
        </w:tc>
      </w:tr>
      <w:tr w:rsidR="0077200F" w:rsidRPr="005F7836" w14:paraId="48D2D8B8" w14:textId="77777777" w:rsidTr="00287502">
        <w:trPr>
          <w:trHeight w:val="184"/>
        </w:trPr>
        <w:tc>
          <w:tcPr>
            <w:cnfStyle w:val="001000000000" w:firstRow="0" w:lastRow="0" w:firstColumn="1" w:lastColumn="0" w:oddVBand="0" w:evenVBand="0" w:oddHBand="0" w:evenHBand="0" w:firstRowFirstColumn="0" w:firstRowLastColumn="0" w:lastRowFirstColumn="0" w:lastRowLastColumn="0"/>
            <w:tcW w:w="2859" w:type="dxa"/>
            <w:shd w:val="clear" w:color="auto" w:fill="A6A6A6"/>
          </w:tcPr>
          <w:p w14:paraId="10D163AF" w14:textId="54217C36" w:rsidR="00287502" w:rsidRPr="005F7836" w:rsidRDefault="00D81B92" w:rsidP="003F002F">
            <w:pPr>
              <w:suppressAutoHyphens/>
              <w:rPr>
                <w:rFonts w:ascii="Arial" w:eastAsia="MS Mincho" w:hAnsi="Arial" w:cs="Arial"/>
                <w:b w:val="0"/>
                <w:color w:val="FFFFFF"/>
                <w:sz w:val="22"/>
                <w:szCs w:val="22"/>
                <w:lang w:val="ru-RU" w:eastAsia="ar-SA"/>
              </w:rPr>
            </w:pPr>
            <w:r w:rsidRPr="005F7836">
              <w:rPr>
                <w:rFonts w:ascii="Arial" w:eastAsia="MS Mincho" w:hAnsi="Arial" w:cs="Arial"/>
                <w:color w:val="FFFFFF"/>
                <w:sz w:val="22"/>
                <w:szCs w:val="22"/>
                <w:lang w:val="ru-RU" w:eastAsia="ar-SA"/>
              </w:rPr>
              <w:t>Северная и Южная Америка</w:t>
            </w:r>
          </w:p>
        </w:tc>
        <w:tc>
          <w:tcPr>
            <w:tcW w:w="1272" w:type="dxa"/>
            <w:shd w:val="clear" w:color="auto" w:fill="F2F2F2"/>
          </w:tcPr>
          <w:p w14:paraId="4BE9E21A"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35</w:t>
            </w:r>
          </w:p>
        </w:tc>
        <w:tc>
          <w:tcPr>
            <w:tcW w:w="1217" w:type="dxa"/>
            <w:shd w:val="clear" w:color="auto" w:fill="F2F2F2"/>
          </w:tcPr>
          <w:p w14:paraId="6693DBC1"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10</w:t>
            </w:r>
          </w:p>
        </w:tc>
        <w:tc>
          <w:tcPr>
            <w:tcW w:w="1244" w:type="dxa"/>
            <w:shd w:val="clear" w:color="auto" w:fill="F2F2F2"/>
          </w:tcPr>
          <w:p w14:paraId="516272EC"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16</w:t>
            </w:r>
          </w:p>
        </w:tc>
        <w:tc>
          <w:tcPr>
            <w:tcW w:w="1489" w:type="dxa"/>
            <w:shd w:val="clear" w:color="auto" w:fill="F2F2F2"/>
          </w:tcPr>
          <w:p w14:paraId="48DFB295"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 xml:space="preserve">46% </w:t>
            </w:r>
          </w:p>
        </w:tc>
      </w:tr>
      <w:tr w:rsidR="0077200F" w:rsidRPr="005F7836" w14:paraId="1717F4CB" w14:textId="77777777" w:rsidTr="00287502">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859" w:type="dxa"/>
            <w:shd w:val="clear" w:color="auto" w:fill="A6A6A6"/>
          </w:tcPr>
          <w:p w14:paraId="5BD0D579" w14:textId="32F1C183" w:rsidR="00287502" w:rsidRPr="005F7836" w:rsidRDefault="00A13D7A" w:rsidP="003F002F">
            <w:pPr>
              <w:suppressAutoHyphens/>
              <w:rPr>
                <w:rFonts w:ascii="Arial" w:eastAsia="MS Mincho" w:hAnsi="Arial" w:cs="Arial"/>
                <w:b w:val="0"/>
                <w:color w:val="FFFFFF"/>
                <w:sz w:val="22"/>
                <w:szCs w:val="22"/>
                <w:lang w:val="ru-RU" w:eastAsia="ar-SA"/>
              </w:rPr>
            </w:pPr>
            <w:r w:rsidRPr="005F7836">
              <w:rPr>
                <w:rFonts w:ascii="Arial" w:eastAsia="MS Mincho" w:hAnsi="Arial" w:cs="Arial"/>
                <w:color w:val="FFFFFF"/>
                <w:sz w:val="22"/>
                <w:szCs w:val="22"/>
                <w:lang w:val="ru-RU" w:eastAsia="ar-SA"/>
              </w:rPr>
              <w:t>Азиатско-Т</w:t>
            </w:r>
            <w:r w:rsidR="00D81B92" w:rsidRPr="005F7836">
              <w:rPr>
                <w:rFonts w:ascii="Arial" w:eastAsia="MS Mincho" w:hAnsi="Arial" w:cs="Arial"/>
                <w:color w:val="FFFFFF"/>
                <w:sz w:val="22"/>
                <w:szCs w:val="22"/>
                <w:lang w:val="ru-RU" w:eastAsia="ar-SA"/>
              </w:rPr>
              <w:t>ихоокеанский регион</w:t>
            </w:r>
          </w:p>
        </w:tc>
        <w:tc>
          <w:tcPr>
            <w:tcW w:w="1272" w:type="dxa"/>
            <w:shd w:val="clear" w:color="auto" w:fill="D9D9D9"/>
          </w:tcPr>
          <w:p w14:paraId="759A597F"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35</w:t>
            </w:r>
          </w:p>
        </w:tc>
        <w:tc>
          <w:tcPr>
            <w:tcW w:w="1217" w:type="dxa"/>
            <w:shd w:val="clear" w:color="auto" w:fill="D9D9D9"/>
          </w:tcPr>
          <w:p w14:paraId="3D685579"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10</w:t>
            </w:r>
          </w:p>
        </w:tc>
        <w:tc>
          <w:tcPr>
            <w:tcW w:w="1244" w:type="dxa"/>
            <w:shd w:val="clear" w:color="auto" w:fill="D9D9D9"/>
          </w:tcPr>
          <w:p w14:paraId="66A3D201"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17</w:t>
            </w:r>
          </w:p>
        </w:tc>
        <w:tc>
          <w:tcPr>
            <w:tcW w:w="1489" w:type="dxa"/>
            <w:shd w:val="clear" w:color="auto" w:fill="D9D9D9"/>
          </w:tcPr>
          <w:p w14:paraId="35BC6268"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 xml:space="preserve">49% </w:t>
            </w:r>
          </w:p>
        </w:tc>
      </w:tr>
      <w:tr w:rsidR="0077200F" w:rsidRPr="005F7836" w14:paraId="000F7DD7" w14:textId="77777777" w:rsidTr="00287502">
        <w:trPr>
          <w:trHeight w:val="47"/>
        </w:trPr>
        <w:tc>
          <w:tcPr>
            <w:cnfStyle w:val="001000000000" w:firstRow="0" w:lastRow="0" w:firstColumn="1" w:lastColumn="0" w:oddVBand="0" w:evenVBand="0" w:oddHBand="0" w:evenHBand="0" w:firstRowFirstColumn="0" w:firstRowLastColumn="0" w:lastRowFirstColumn="0" w:lastRowLastColumn="0"/>
            <w:tcW w:w="2859" w:type="dxa"/>
            <w:shd w:val="clear" w:color="auto" w:fill="A6A6A6"/>
          </w:tcPr>
          <w:p w14:paraId="0D16CE64" w14:textId="384489A7" w:rsidR="00287502" w:rsidRPr="005F7836" w:rsidRDefault="00D81B92" w:rsidP="003F002F">
            <w:pPr>
              <w:suppressAutoHyphens/>
              <w:rPr>
                <w:rFonts w:ascii="Arial" w:eastAsia="MS Mincho" w:hAnsi="Arial" w:cs="Arial"/>
                <w:b w:val="0"/>
                <w:color w:val="FFFFFF"/>
                <w:sz w:val="22"/>
                <w:szCs w:val="22"/>
                <w:lang w:val="ru-RU" w:eastAsia="ar-SA"/>
              </w:rPr>
            </w:pPr>
            <w:r w:rsidRPr="005F7836">
              <w:rPr>
                <w:rFonts w:ascii="Arial" w:eastAsia="MS Mincho" w:hAnsi="Arial" w:cs="Arial"/>
                <w:color w:val="FFFFFF"/>
                <w:sz w:val="22"/>
                <w:szCs w:val="22"/>
                <w:lang w:val="ru-RU" w:eastAsia="ar-SA"/>
              </w:rPr>
              <w:lastRenderedPageBreak/>
              <w:t>Европа и Центральная Азия</w:t>
            </w:r>
            <w:r w:rsidR="00287502" w:rsidRPr="005F7836">
              <w:rPr>
                <w:rFonts w:ascii="Arial" w:eastAsia="MS Mincho" w:hAnsi="Arial" w:cs="Arial"/>
                <w:color w:val="FFFFFF"/>
                <w:sz w:val="22"/>
                <w:szCs w:val="22"/>
                <w:lang w:val="ru-RU" w:eastAsia="ar-SA"/>
              </w:rPr>
              <w:t xml:space="preserve"> </w:t>
            </w:r>
          </w:p>
        </w:tc>
        <w:tc>
          <w:tcPr>
            <w:tcW w:w="1272" w:type="dxa"/>
            <w:shd w:val="clear" w:color="auto" w:fill="F2F2F2"/>
          </w:tcPr>
          <w:p w14:paraId="3EF8801C"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53</w:t>
            </w:r>
          </w:p>
        </w:tc>
        <w:tc>
          <w:tcPr>
            <w:tcW w:w="1217" w:type="dxa"/>
            <w:shd w:val="clear" w:color="auto" w:fill="F2F2F2"/>
          </w:tcPr>
          <w:p w14:paraId="5E578B56"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16</w:t>
            </w:r>
          </w:p>
        </w:tc>
        <w:tc>
          <w:tcPr>
            <w:tcW w:w="1244" w:type="dxa"/>
            <w:shd w:val="clear" w:color="auto" w:fill="F2F2F2"/>
          </w:tcPr>
          <w:p w14:paraId="5F8941ED"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30</w:t>
            </w:r>
          </w:p>
        </w:tc>
        <w:tc>
          <w:tcPr>
            <w:tcW w:w="1489" w:type="dxa"/>
            <w:shd w:val="clear" w:color="auto" w:fill="F2F2F2"/>
          </w:tcPr>
          <w:p w14:paraId="2FB2F937"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 xml:space="preserve">57% </w:t>
            </w:r>
          </w:p>
        </w:tc>
      </w:tr>
      <w:tr w:rsidR="0077200F" w:rsidRPr="005F7836" w14:paraId="04339F0C" w14:textId="77777777" w:rsidTr="0028750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859" w:type="dxa"/>
            <w:shd w:val="clear" w:color="auto" w:fill="A6A6A6"/>
          </w:tcPr>
          <w:p w14:paraId="6D5B3FD3" w14:textId="70EA0781" w:rsidR="00287502" w:rsidRPr="005F7836" w:rsidRDefault="00D81B92" w:rsidP="003F002F">
            <w:pPr>
              <w:suppressAutoHyphens/>
              <w:rPr>
                <w:rFonts w:ascii="Arial" w:eastAsia="MS Mincho" w:hAnsi="Arial" w:cs="Arial"/>
                <w:b w:val="0"/>
                <w:color w:val="FFFFFF"/>
                <w:sz w:val="22"/>
                <w:szCs w:val="22"/>
                <w:lang w:val="ru-RU" w:eastAsia="ar-SA"/>
              </w:rPr>
            </w:pPr>
            <w:r w:rsidRPr="005F7836">
              <w:rPr>
                <w:rFonts w:ascii="Arial" w:eastAsia="MS Mincho" w:hAnsi="Arial" w:cs="Arial"/>
                <w:color w:val="FFFFFF"/>
                <w:sz w:val="22"/>
                <w:szCs w:val="22"/>
                <w:lang w:val="ru-RU" w:eastAsia="ar-SA"/>
              </w:rPr>
              <w:t>Ближний Восток и Северная Африка</w:t>
            </w:r>
          </w:p>
        </w:tc>
        <w:tc>
          <w:tcPr>
            <w:tcW w:w="1272" w:type="dxa"/>
            <w:shd w:val="clear" w:color="auto" w:fill="D9D9D9"/>
          </w:tcPr>
          <w:p w14:paraId="60AC6DA0"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18</w:t>
            </w:r>
          </w:p>
        </w:tc>
        <w:tc>
          <w:tcPr>
            <w:tcW w:w="1217" w:type="dxa"/>
            <w:shd w:val="clear" w:color="auto" w:fill="D9D9D9"/>
          </w:tcPr>
          <w:p w14:paraId="51F670DC"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5</w:t>
            </w:r>
          </w:p>
        </w:tc>
        <w:tc>
          <w:tcPr>
            <w:tcW w:w="1244" w:type="dxa"/>
            <w:shd w:val="clear" w:color="auto" w:fill="D9D9D9"/>
          </w:tcPr>
          <w:p w14:paraId="76548AAD"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9</w:t>
            </w:r>
          </w:p>
        </w:tc>
        <w:tc>
          <w:tcPr>
            <w:tcW w:w="1489" w:type="dxa"/>
            <w:shd w:val="clear" w:color="auto" w:fill="D9D9D9"/>
          </w:tcPr>
          <w:p w14:paraId="2458F820" w14:textId="77777777" w:rsidR="00287502" w:rsidRPr="005F7836" w:rsidRDefault="00287502" w:rsidP="003F002F">
            <w:pPr>
              <w:suppressAutoHyphens/>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 xml:space="preserve">50% </w:t>
            </w:r>
          </w:p>
        </w:tc>
      </w:tr>
      <w:tr w:rsidR="0077200F" w:rsidRPr="005F7836" w14:paraId="2EBB7A29" w14:textId="77777777" w:rsidTr="00287502">
        <w:trPr>
          <w:trHeight w:val="206"/>
        </w:trPr>
        <w:tc>
          <w:tcPr>
            <w:cnfStyle w:val="001000000000" w:firstRow="0" w:lastRow="0" w:firstColumn="1" w:lastColumn="0" w:oddVBand="0" w:evenVBand="0" w:oddHBand="0" w:evenHBand="0" w:firstRowFirstColumn="0" w:firstRowLastColumn="0" w:lastRowFirstColumn="0" w:lastRowLastColumn="0"/>
            <w:tcW w:w="2859" w:type="dxa"/>
            <w:shd w:val="clear" w:color="auto" w:fill="A6A6A6"/>
          </w:tcPr>
          <w:p w14:paraId="4B694469" w14:textId="05A7B31F" w:rsidR="00287502" w:rsidRPr="005F7836" w:rsidRDefault="00D81B92" w:rsidP="003F002F">
            <w:pPr>
              <w:suppressAutoHyphens/>
              <w:rPr>
                <w:rFonts w:ascii="Arial" w:eastAsia="MS Mincho" w:hAnsi="Arial" w:cs="Arial"/>
                <w:b w:val="0"/>
                <w:color w:val="FFFFFF"/>
                <w:sz w:val="22"/>
                <w:szCs w:val="22"/>
                <w:lang w:val="ru-RU" w:eastAsia="ar-SA"/>
              </w:rPr>
            </w:pPr>
            <w:r w:rsidRPr="005F7836">
              <w:rPr>
                <w:rFonts w:ascii="Arial" w:eastAsia="MS Mincho" w:hAnsi="Arial" w:cs="Arial"/>
                <w:color w:val="FFFFFF"/>
                <w:sz w:val="22"/>
                <w:szCs w:val="22"/>
                <w:lang w:val="ru-RU" w:eastAsia="ar-SA"/>
              </w:rPr>
              <w:t>Итого</w:t>
            </w:r>
          </w:p>
        </w:tc>
        <w:tc>
          <w:tcPr>
            <w:tcW w:w="1272" w:type="dxa"/>
            <w:shd w:val="clear" w:color="auto" w:fill="F2F2F2"/>
          </w:tcPr>
          <w:p w14:paraId="20723AB3"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190</w:t>
            </w:r>
          </w:p>
        </w:tc>
        <w:tc>
          <w:tcPr>
            <w:tcW w:w="1217" w:type="dxa"/>
            <w:shd w:val="clear" w:color="auto" w:fill="F2F2F2"/>
          </w:tcPr>
          <w:p w14:paraId="5942B49A"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56</w:t>
            </w:r>
          </w:p>
        </w:tc>
        <w:tc>
          <w:tcPr>
            <w:tcW w:w="1244" w:type="dxa"/>
            <w:shd w:val="clear" w:color="auto" w:fill="F2F2F2"/>
          </w:tcPr>
          <w:p w14:paraId="6F174E09" w14:textId="1DA97D20"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93</w:t>
            </w:r>
          </w:p>
        </w:tc>
        <w:tc>
          <w:tcPr>
            <w:tcW w:w="1489" w:type="dxa"/>
            <w:shd w:val="clear" w:color="auto" w:fill="F2F2F2"/>
          </w:tcPr>
          <w:p w14:paraId="6C19A428" w14:textId="77777777" w:rsidR="00287502" w:rsidRPr="005F7836" w:rsidRDefault="00287502" w:rsidP="003F002F">
            <w:pPr>
              <w:suppressAutoHyphens/>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lang w:val="ru-RU" w:eastAsia="ar-SA"/>
              </w:rPr>
            </w:pPr>
            <w:r w:rsidRPr="005F7836">
              <w:rPr>
                <w:rFonts w:ascii="Arial" w:eastAsia="MS Mincho" w:hAnsi="Arial" w:cs="Arial"/>
                <w:sz w:val="22"/>
                <w:szCs w:val="22"/>
                <w:lang w:val="ru-RU" w:eastAsia="ar-SA"/>
              </w:rPr>
              <w:t xml:space="preserve">49% </w:t>
            </w:r>
          </w:p>
        </w:tc>
      </w:tr>
    </w:tbl>
    <w:p w14:paraId="2B609F3B" w14:textId="70535961" w:rsidR="00C74A86" w:rsidRPr="005F7836" w:rsidRDefault="00D81B92" w:rsidP="004B5189">
      <w:pPr>
        <w:pStyle w:val="CoDHeading1"/>
        <w:numPr>
          <w:ilvl w:val="0"/>
          <w:numId w:val="23"/>
        </w:numPr>
        <w:rPr>
          <w:rFonts w:cs="Arial"/>
          <w:sz w:val="22"/>
          <w:lang w:val="ru-RU"/>
        </w:rPr>
      </w:pPr>
      <w:r w:rsidRPr="005F7836">
        <w:rPr>
          <w:rFonts w:cs="Arial"/>
          <w:sz w:val="22"/>
          <w:lang w:val="ru-RU"/>
        </w:rPr>
        <w:t>АНАЛИЗ</w:t>
      </w:r>
      <w:r w:rsidR="00C74A86" w:rsidRPr="005F7836">
        <w:rPr>
          <w:rFonts w:cs="Arial"/>
          <w:sz w:val="22"/>
          <w:lang w:val="ru-RU"/>
        </w:rPr>
        <w:t xml:space="preserve"> / </w:t>
      </w:r>
      <w:r w:rsidRPr="005F7836">
        <w:rPr>
          <w:rFonts w:cs="Arial"/>
          <w:sz w:val="22"/>
          <w:lang w:val="ru-RU"/>
        </w:rPr>
        <w:t>ПРОГРЕСС</w:t>
      </w:r>
    </w:p>
    <w:p w14:paraId="2FC92FBE" w14:textId="51664A89" w:rsidR="00714F93" w:rsidRPr="005F7836" w:rsidRDefault="00D81B92" w:rsidP="004B5189">
      <w:pPr>
        <w:pStyle w:val="CoDHeading2"/>
        <w:rPr>
          <w:rFonts w:cs="Arial"/>
          <w:lang w:val="ru-RU"/>
        </w:rPr>
      </w:pPr>
      <w:r w:rsidRPr="005F7836">
        <w:rPr>
          <w:rFonts w:cs="Arial"/>
          <w:lang w:val="ru-RU"/>
        </w:rPr>
        <w:t>КОНЦЕПЦИЯ</w:t>
      </w:r>
      <w:r w:rsidR="006224E3" w:rsidRPr="005F7836">
        <w:rPr>
          <w:rFonts w:cs="Arial"/>
          <w:lang w:val="ru-RU"/>
        </w:rPr>
        <w:t xml:space="preserve">, ЦЕЛИ И ПРИНЦИПЫ </w:t>
      </w:r>
      <w:r w:rsidR="00714F93" w:rsidRPr="005F7836">
        <w:rPr>
          <w:rFonts w:cs="Arial"/>
          <w:lang w:val="ru-RU"/>
        </w:rPr>
        <w:t xml:space="preserve"> </w:t>
      </w:r>
    </w:p>
    <w:p w14:paraId="2EAA4571" w14:textId="28238CFC" w:rsidR="00391CC4" w:rsidRPr="005F7836" w:rsidRDefault="006224E3" w:rsidP="004B5189">
      <w:pPr>
        <w:pStyle w:val="CoDNormal"/>
        <w:rPr>
          <w:rFonts w:cs="Arial"/>
          <w:lang w:val="ru-RU"/>
        </w:rPr>
      </w:pPr>
      <w:r w:rsidRPr="005F7836">
        <w:rPr>
          <w:rFonts w:cs="Arial"/>
          <w:lang w:val="ru-RU"/>
        </w:rPr>
        <w:t xml:space="preserve">Несмотря на </w:t>
      </w:r>
      <w:r w:rsidR="004E6420" w:rsidRPr="005F7836">
        <w:rPr>
          <w:rFonts w:cs="Arial"/>
          <w:lang w:val="ru-RU"/>
        </w:rPr>
        <w:t>многообещающие результаты в области реализации</w:t>
      </w:r>
      <w:r w:rsidRPr="005F7836">
        <w:rPr>
          <w:rFonts w:cs="Arial"/>
          <w:lang w:val="ru-RU"/>
        </w:rPr>
        <w:t xml:space="preserve"> стратегии по </w:t>
      </w:r>
      <w:r w:rsidR="004E6420" w:rsidRPr="005F7836">
        <w:rPr>
          <w:rFonts w:cs="Arial"/>
          <w:lang w:val="ru-RU"/>
        </w:rPr>
        <w:t>мобилизации</w:t>
      </w:r>
      <w:r w:rsidRPr="005F7836">
        <w:rPr>
          <w:rFonts w:cs="Arial"/>
          <w:lang w:val="ru-RU"/>
        </w:rPr>
        <w:t xml:space="preserve"> ресурсов МФОККиКП, ко</w:t>
      </w:r>
      <w:r w:rsidR="004E6420" w:rsidRPr="005F7836">
        <w:rPr>
          <w:rFonts w:cs="Arial"/>
          <w:lang w:val="ru-RU"/>
        </w:rPr>
        <w:t xml:space="preserve">торая была направлена на повышение уровня </w:t>
      </w:r>
      <w:r w:rsidRPr="005F7836">
        <w:rPr>
          <w:rFonts w:cs="Arial"/>
          <w:lang w:val="ru-RU"/>
        </w:rPr>
        <w:t>сотрудниче</w:t>
      </w:r>
      <w:r w:rsidR="004E6420" w:rsidRPr="005F7836">
        <w:rPr>
          <w:rFonts w:cs="Arial"/>
          <w:lang w:val="ru-RU"/>
        </w:rPr>
        <w:t xml:space="preserve">ства между национальными обществами с целью развития </w:t>
      </w:r>
      <w:r w:rsidRPr="005F7836">
        <w:rPr>
          <w:rFonts w:cs="Arial"/>
          <w:lang w:val="ru-RU"/>
        </w:rPr>
        <w:t>их потенциал</w:t>
      </w:r>
      <w:r w:rsidR="004E6420" w:rsidRPr="005F7836">
        <w:rPr>
          <w:rFonts w:cs="Arial"/>
          <w:lang w:val="ru-RU"/>
        </w:rPr>
        <w:t>а</w:t>
      </w:r>
      <w:r w:rsidRPr="005F7836">
        <w:rPr>
          <w:rFonts w:cs="Arial"/>
          <w:lang w:val="ru-RU"/>
        </w:rPr>
        <w:t xml:space="preserve"> в </w:t>
      </w:r>
      <w:r w:rsidR="004E6420" w:rsidRPr="005F7836">
        <w:rPr>
          <w:rFonts w:cs="Arial"/>
          <w:lang w:val="ru-RU"/>
        </w:rPr>
        <w:t>области моб</w:t>
      </w:r>
      <w:r w:rsidRPr="005F7836">
        <w:rPr>
          <w:rFonts w:cs="Arial"/>
          <w:lang w:val="ru-RU"/>
        </w:rPr>
        <w:t>илизации ресурсов</w:t>
      </w:r>
      <w:r w:rsidR="004E6420" w:rsidRPr="005F7836">
        <w:rPr>
          <w:rFonts w:cs="Arial"/>
          <w:lang w:val="ru-RU"/>
        </w:rPr>
        <w:t>,</w:t>
      </w:r>
      <w:r w:rsidRPr="005F7836">
        <w:rPr>
          <w:rFonts w:cs="Arial"/>
          <w:lang w:val="ru-RU"/>
        </w:rPr>
        <w:t xml:space="preserve">  Движение отстает</w:t>
      </w:r>
      <w:r w:rsidR="004E6420" w:rsidRPr="005F7836">
        <w:rPr>
          <w:rFonts w:cs="Arial"/>
          <w:lang w:val="ru-RU"/>
        </w:rPr>
        <w:t xml:space="preserve"> от на</w:t>
      </w:r>
      <w:r w:rsidR="00CD6474" w:rsidRPr="005F7836">
        <w:rPr>
          <w:rFonts w:cs="Arial"/>
          <w:lang w:val="ru-RU"/>
        </w:rPr>
        <w:t>меченных показателей</w:t>
      </w:r>
      <w:r w:rsidRPr="005F7836">
        <w:rPr>
          <w:rFonts w:cs="Arial"/>
          <w:lang w:val="ru-RU"/>
        </w:rPr>
        <w:t>. Мы</w:t>
      </w:r>
      <w:r w:rsidR="007A3970" w:rsidRPr="005F7836">
        <w:rPr>
          <w:rFonts w:cs="Arial"/>
          <w:lang w:val="ru-RU"/>
        </w:rPr>
        <w:t>, безусловно,</w:t>
      </w:r>
      <w:r w:rsidRPr="005F7836">
        <w:rPr>
          <w:rFonts w:cs="Arial"/>
          <w:lang w:val="ru-RU"/>
        </w:rPr>
        <w:t xml:space="preserve"> пытаемся </w:t>
      </w:r>
      <w:r w:rsidR="007A3970" w:rsidRPr="005F7836">
        <w:rPr>
          <w:rFonts w:cs="Arial"/>
          <w:lang w:val="ru-RU"/>
        </w:rPr>
        <w:t xml:space="preserve">достаточным образом </w:t>
      </w:r>
      <w:r w:rsidRPr="005F7836">
        <w:rPr>
          <w:rFonts w:cs="Arial"/>
          <w:lang w:val="ru-RU"/>
        </w:rPr>
        <w:t xml:space="preserve">увеличить </w:t>
      </w:r>
      <w:r w:rsidR="00CD6474" w:rsidRPr="005F7836">
        <w:rPr>
          <w:rFonts w:cs="Arial"/>
          <w:lang w:val="ru-RU"/>
        </w:rPr>
        <w:t>свои</w:t>
      </w:r>
      <w:r w:rsidRPr="005F7836">
        <w:rPr>
          <w:rFonts w:cs="Arial"/>
          <w:lang w:val="ru-RU"/>
        </w:rPr>
        <w:t xml:space="preserve"> доход</w:t>
      </w:r>
      <w:r w:rsidR="00CD6474" w:rsidRPr="005F7836">
        <w:rPr>
          <w:rFonts w:cs="Arial"/>
          <w:lang w:val="ru-RU"/>
        </w:rPr>
        <w:t>ы</w:t>
      </w:r>
      <w:r w:rsidR="007A3970" w:rsidRPr="005F7836">
        <w:rPr>
          <w:rFonts w:cs="Arial"/>
          <w:lang w:val="ru-RU"/>
        </w:rPr>
        <w:t>, чтобы суметь обеспечить растущие потребности. С другой стороны</w:t>
      </w:r>
      <w:r w:rsidRPr="005F7836">
        <w:rPr>
          <w:rFonts w:cs="Arial"/>
          <w:lang w:val="ru-RU"/>
        </w:rPr>
        <w:t>,</w:t>
      </w:r>
      <w:r w:rsidR="007A3970" w:rsidRPr="005F7836">
        <w:rPr>
          <w:rFonts w:cs="Arial"/>
          <w:lang w:val="ru-RU"/>
        </w:rPr>
        <w:t xml:space="preserve"> мы не используем многие возможности </w:t>
      </w:r>
      <w:r w:rsidR="00A0176D" w:rsidRPr="005F7836">
        <w:rPr>
          <w:rFonts w:cs="Arial"/>
          <w:lang w:val="ru-RU"/>
        </w:rPr>
        <w:t>для привлечения средств</w:t>
      </w:r>
      <w:r w:rsidR="007A3970" w:rsidRPr="005F7836">
        <w:rPr>
          <w:rFonts w:cs="Arial"/>
          <w:lang w:val="ru-RU"/>
        </w:rPr>
        <w:t xml:space="preserve"> из-за отсутствия общей концепции, низкого уровня сотрудничества и недостаточно эффективной координации действий</w:t>
      </w:r>
      <w:r w:rsidRPr="005F7836">
        <w:rPr>
          <w:rFonts w:cs="Arial"/>
          <w:lang w:val="ru-RU"/>
        </w:rPr>
        <w:t>:</w:t>
      </w:r>
      <w:r w:rsidR="003F0CC1" w:rsidRPr="005F7836">
        <w:rPr>
          <w:rFonts w:cs="Arial"/>
          <w:lang w:val="ru-RU"/>
        </w:rPr>
        <w:t xml:space="preserve"> </w:t>
      </w:r>
      <w:r w:rsidRPr="005F7836">
        <w:rPr>
          <w:rFonts w:cs="Arial"/>
          <w:lang w:val="ru-RU"/>
        </w:rPr>
        <w:t>“Доверие</w:t>
      </w:r>
      <w:r w:rsidR="00391CC4" w:rsidRPr="005F7836">
        <w:rPr>
          <w:rFonts w:cs="Arial"/>
          <w:lang w:val="ru-RU"/>
        </w:rPr>
        <w:t xml:space="preserve">, </w:t>
      </w:r>
      <w:r w:rsidR="007A3970" w:rsidRPr="005F7836">
        <w:rPr>
          <w:rFonts w:cs="Arial"/>
          <w:lang w:val="ru-RU"/>
        </w:rPr>
        <w:t>принятие и уважение конкурентных преимуществ друг друга – основа успешного</w:t>
      </w:r>
      <w:r w:rsidRPr="005F7836">
        <w:rPr>
          <w:rFonts w:cs="Arial"/>
          <w:lang w:val="ru-RU"/>
        </w:rPr>
        <w:t xml:space="preserve"> сотрудниче</w:t>
      </w:r>
      <w:r w:rsidR="007A3970" w:rsidRPr="005F7836">
        <w:rPr>
          <w:rFonts w:cs="Arial"/>
          <w:lang w:val="ru-RU"/>
        </w:rPr>
        <w:t xml:space="preserve">ства, направленного на </w:t>
      </w:r>
      <w:r w:rsidRPr="005F7836">
        <w:rPr>
          <w:rFonts w:cs="Arial"/>
          <w:lang w:val="ru-RU"/>
        </w:rPr>
        <w:t xml:space="preserve"> </w:t>
      </w:r>
      <w:r w:rsidR="007A3970" w:rsidRPr="005F7836">
        <w:rPr>
          <w:rFonts w:cs="Arial"/>
          <w:lang w:val="ru-RU"/>
        </w:rPr>
        <w:t>то, чтобы облегчить страдания</w:t>
      </w:r>
      <w:r w:rsidRPr="005F7836">
        <w:rPr>
          <w:rFonts w:cs="Arial"/>
          <w:lang w:val="ru-RU"/>
        </w:rPr>
        <w:t xml:space="preserve"> людей, которые оказались в кризисных ситуациях</w:t>
      </w:r>
      <w:r w:rsidR="00740CF8" w:rsidRPr="005F7836">
        <w:rPr>
          <w:rFonts w:cs="Arial"/>
          <w:lang w:val="ru-RU"/>
        </w:rPr>
        <w:t>,</w:t>
      </w:r>
      <w:r w:rsidR="00391CC4" w:rsidRPr="005F7836">
        <w:rPr>
          <w:rFonts w:cs="Arial"/>
          <w:lang w:val="ru-RU"/>
        </w:rPr>
        <w:t xml:space="preserve">” </w:t>
      </w:r>
      <w:r w:rsidR="007A3970" w:rsidRPr="005F7836">
        <w:rPr>
          <w:rFonts w:cs="Arial"/>
          <w:lang w:val="ru-RU"/>
        </w:rPr>
        <w:t>– сказал руководитель одного из национальных обществ</w:t>
      </w:r>
      <w:r w:rsidRPr="005F7836">
        <w:rPr>
          <w:rFonts w:cs="Arial"/>
          <w:lang w:val="ru-RU"/>
        </w:rPr>
        <w:t xml:space="preserve"> на первой </w:t>
      </w:r>
      <w:r w:rsidR="007A3970" w:rsidRPr="005F7836">
        <w:rPr>
          <w:rFonts w:cs="Arial"/>
          <w:lang w:val="ru-RU"/>
        </w:rPr>
        <w:t>встрече</w:t>
      </w:r>
      <w:r w:rsidRPr="005F7836">
        <w:rPr>
          <w:rFonts w:cs="Arial"/>
          <w:lang w:val="ru-RU"/>
        </w:rPr>
        <w:t xml:space="preserve"> Рабочей группы. </w:t>
      </w:r>
    </w:p>
    <w:p w14:paraId="6172827F" w14:textId="3400B46F" w:rsidR="006224E3" w:rsidRPr="005F7836" w:rsidRDefault="007A3970" w:rsidP="004B5189">
      <w:pPr>
        <w:pStyle w:val="CoDNormal"/>
        <w:rPr>
          <w:rFonts w:cs="Arial"/>
          <w:lang w:val="ru-RU"/>
        </w:rPr>
      </w:pPr>
      <w:r w:rsidRPr="005F7836">
        <w:rPr>
          <w:rFonts w:cs="Arial"/>
          <w:lang w:val="ru-RU"/>
        </w:rPr>
        <w:t>Концепция, цели, принципы и инициативы</w:t>
      </w:r>
      <w:r w:rsidR="006224E3" w:rsidRPr="005F7836">
        <w:rPr>
          <w:rFonts w:cs="Arial"/>
          <w:lang w:val="ru-RU"/>
        </w:rPr>
        <w:t xml:space="preserve"> по мобилизации ресурсов в масштабах Движения были разработаны для того, чтобы помочь участни</w:t>
      </w:r>
      <w:r w:rsidRPr="005F7836">
        <w:rPr>
          <w:rFonts w:cs="Arial"/>
          <w:lang w:val="ru-RU"/>
        </w:rPr>
        <w:t>кам Движения  решить эти задачи в</w:t>
      </w:r>
      <w:r w:rsidR="006224E3" w:rsidRPr="005F7836">
        <w:rPr>
          <w:rFonts w:cs="Arial"/>
          <w:lang w:val="ru-RU"/>
        </w:rPr>
        <w:t xml:space="preserve"> индивиду</w:t>
      </w:r>
      <w:r w:rsidRPr="005F7836">
        <w:rPr>
          <w:rFonts w:cs="Arial"/>
          <w:lang w:val="ru-RU"/>
        </w:rPr>
        <w:t>а</w:t>
      </w:r>
      <w:r w:rsidR="006224E3" w:rsidRPr="005F7836">
        <w:rPr>
          <w:rFonts w:cs="Arial"/>
          <w:lang w:val="ru-RU"/>
        </w:rPr>
        <w:t>льно</w:t>
      </w:r>
      <w:r w:rsidRPr="005F7836">
        <w:rPr>
          <w:rFonts w:cs="Arial"/>
          <w:lang w:val="ru-RU"/>
        </w:rPr>
        <w:t>м порядке</w:t>
      </w:r>
      <w:r w:rsidR="00A0176D" w:rsidRPr="005F7836">
        <w:rPr>
          <w:rFonts w:cs="Arial"/>
          <w:lang w:val="ru-RU"/>
        </w:rPr>
        <w:t xml:space="preserve"> и сообща</w:t>
      </w:r>
      <w:r w:rsidR="006224E3" w:rsidRPr="005F7836">
        <w:rPr>
          <w:rFonts w:cs="Arial"/>
          <w:lang w:val="ru-RU"/>
        </w:rPr>
        <w:t xml:space="preserve">. </w:t>
      </w:r>
    </w:p>
    <w:p w14:paraId="0F97E9D7" w14:textId="21424979" w:rsidR="006224E3" w:rsidRPr="005F7836" w:rsidRDefault="006224E3" w:rsidP="004B5189">
      <w:pPr>
        <w:pStyle w:val="CoDNormal"/>
        <w:rPr>
          <w:rFonts w:cs="Arial"/>
          <w:lang w:val="ru-RU"/>
        </w:rPr>
      </w:pPr>
      <w:r w:rsidRPr="005F7836">
        <w:rPr>
          <w:rFonts w:cs="Arial"/>
          <w:lang w:val="ru-RU"/>
        </w:rPr>
        <w:t>Концепция утверждае</w:t>
      </w:r>
      <w:r w:rsidR="00A0176D" w:rsidRPr="005F7836">
        <w:rPr>
          <w:rFonts w:cs="Arial"/>
          <w:lang w:val="ru-RU"/>
        </w:rPr>
        <w:t>т наше стремление объединить усилия</w:t>
      </w:r>
      <w:r w:rsidR="007A3970" w:rsidRPr="005F7836">
        <w:rPr>
          <w:rFonts w:cs="Arial"/>
          <w:lang w:val="ru-RU"/>
        </w:rPr>
        <w:t xml:space="preserve">, чтобы завоевать лидерство </w:t>
      </w:r>
      <w:r w:rsidRPr="005F7836">
        <w:rPr>
          <w:rFonts w:cs="Arial"/>
          <w:lang w:val="ru-RU"/>
        </w:rPr>
        <w:t>в области</w:t>
      </w:r>
      <w:r w:rsidR="007A3970" w:rsidRPr="005F7836">
        <w:rPr>
          <w:rFonts w:cs="Arial"/>
          <w:lang w:val="ru-RU"/>
        </w:rPr>
        <w:t xml:space="preserve"> мобилизации ресурсов на местном и глобальном уровне</w:t>
      </w:r>
      <w:r w:rsidRPr="005F7836">
        <w:rPr>
          <w:rFonts w:cs="Arial"/>
          <w:lang w:val="ru-RU"/>
        </w:rPr>
        <w:t>, что п</w:t>
      </w:r>
      <w:r w:rsidR="007A3970" w:rsidRPr="005F7836">
        <w:rPr>
          <w:rFonts w:cs="Arial"/>
          <w:lang w:val="ru-RU"/>
        </w:rPr>
        <w:t xml:space="preserve">озволило бы нам обеспечить максимальную </w:t>
      </w:r>
      <w:r w:rsidR="00AB0636" w:rsidRPr="005F7836">
        <w:rPr>
          <w:rFonts w:cs="Arial"/>
          <w:lang w:val="ru-RU"/>
        </w:rPr>
        <w:t>эффективность своего</w:t>
      </w:r>
      <w:r w:rsidR="007A3970" w:rsidRPr="005F7836">
        <w:rPr>
          <w:rFonts w:cs="Arial"/>
          <w:lang w:val="ru-RU"/>
        </w:rPr>
        <w:t xml:space="preserve"> глобального</w:t>
      </w:r>
      <w:r w:rsidRPr="005F7836">
        <w:rPr>
          <w:rFonts w:cs="Arial"/>
          <w:lang w:val="ru-RU"/>
        </w:rPr>
        <w:t xml:space="preserve"> подход</w:t>
      </w:r>
      <w:r w:rsidR="007A3970" w:rsidRPr="005F7836">
        <w:rPr>
          <w:rFonts w:cs="Arial"/>
          <w:lang w:val="ru-RU"/>
        </w:rPr>
        <w:t>а</w:t>
      </w:r>
      <w:r w:rsidR="00AB0636" w:rsidRPr="005F7836">
        <w:rPr>
          <w:rFonts w:cs="Arial"/>
          <w:lang w:val="ru-RU"/>
        </w:rPr>
        <w:t xml:space="preserve"> и выполнить свою</w:t>
      </w:r>
      <w:r w:rsidRPr="005F7836">
        <w:rPr>
          <w:rFonts w:cs="Arial"/>
          <w:lang w:val="ru-RU"/>
        </w:rPr>
        <w:t xml:space="preserve"> </w:t>
      </w:r>
      <w:r w:rsidR="00AB0636" w:rsidRPr="005F7836">
        <w:rPr>
          <w:rFonts w:cs="Arial"/>
          <w:lang w:val="ru-RU"/>
        </w:rPr>
        <w:t>гуманитарную</w:t>
      </w:r>
      <w:r w:rsidRPr="005F7836">
        <w:rPr>
          <w:rFonts w:cs="Arial"/>
          <w:lang w:val="ru-RU"/>
        </w:rPr>
        <w:t xml:space="preserve"> миссию.  Концепция говорит о важности </w:t>
      </w:r>
      <w:r w:rsidR="00AB0636" w:rsidRPr="005F7836">
        <w:rPr>
          <w:rFonts w:cs="Arial"/>
          <w:lang w:val="ru-RU"/>
        </w:rPr>
        <w:t>привлечения</w:t>
      </w:r>
      <w:r w:rsidRPr="005F7836">
        <w:rPr>
          <w:rFonts w:cs="Arial"/>
          <w:lang w:val="ru-RU"/>
        </w:rPr>
        <w:t xml:space="preserve"> средств для </w:t>
      </w:r>
      <w:r w:rsidR="00AB0636" w:rsidRPr="005F7836">
        <w:rPr>
          <w:rFonts w:cs="Arial"/>
          <w:lang w:val="ru-RU"/>
        </w:rPr>
        <w:t>осуществления деятельности в будущем</w:t>
      </w:r>
      <w:r w:rsidRPr="005F7836">
        <w:rPr>
          <w:rFonts w:cs="Arial"/>
          <w:lang w:val="ru-RU"/>
        </w:rPr>
        <w:t xml:space="preserve">, </w:t>
      </w:r>
      <w:r w:rsidR="00AB0636" w:rsidRPr="005F7836">
        <w:rPr>
          <w:rFonts w:cs="Arial"/>
          <w:lang w:val="ru-RU"/>
        </w:rPr>
        <w:t>чтобы мы смогли и впредь обеспечивать гум</w:t>
      </w:r>
      <w:r w:rsidRPr="005F7836">
        <w:rPr>
          <w:rFonts w:cs="Arial"/>
          <w:lang w:val="ru-RU"/>
        </w:rPr>
        <w:t>а</w:t>
      </w:r>
      <w:r w:rsidR="00AB0636" w:rsidRPr="005F7836">
        <w:rPr>
          <w:rFonts w:cs="Arial"/>
          <w:lang w:val="ru-RU"/>
        </w:rPr>
        <w:t>нитар</w:t>
      </w:r>
      <w:r w:rsidRPr="005F7836">
        <w:rPr>
          <w:rFonts w:cs="Arial"/>
          <w:lang w:val="ru-RU"/>
        </w:rPr>
        <w:t>н</w:t>
      </w:r>
      <w:r w:rsidR="00AB0636" w:rsidRPr="005F7836">
        <w:rPr>
          <w:rFonts w:cs="Arial"/>
          <w:lang w:val="ru-RU"/>
        </w:rPr>
        <w:t>ы</w:t>
      </w:r>
      <w:r w:rsidR="00A0176D" w:rsidRPr="005F7836">
        <w:rPr>
          <w:rFonts w:cs="Arial"/>
          <w:lang w:val="ru-RU"/>
        </w:rPr>
        <w:t>е потребности при любых обстоятельствах</w:t>
      </w:r>
      <w:r w:rsidR="000973AF" w:rsidRPr="005F7836">
        <w:rPr>
          <w:rFonts w:cs="Arial"/>
          <w:lang w:val="ru-RU"/>
        </w:rPr>
        <w:t>. Помимо этого</w:t>
      </w:r>
      <w:r w:rsidRPr="005F7836">
        <w:rPr>
          <w:rFonts w:cs="Arial"/>
          <w:lang w:val="ru-RU"/>
        </w:rPr>
        <w:t xml:space="preserve">, концепция признает важность </w:t>
      </w:r>
      <w:r w:rsidR="000973AF" w:rsidRPr="005F7836">
        <w:rPr>
          <w:rFonts w:cs="Arial"/>
          <w:lang w:val="ru-RU"/>
        </w:rPr>
        <w:t>совместной</w:t>
      </w:r>
      <w:r w:rsidRPr="005F7836">
        <w:rPr>
          <w:rFonts w:cs="Arial"/>
          <w:lang w:val="ru-RU"/>
        </w:rPr>
        <w:t xml:space="preserve"> работы </w:t>
      </w:r>
      <w:r w:rsidR="000973AF" w:rsidRPr="005F7836">
        <w:rPr>
          <w:rFonts w:cs="Arial"/>
          <w:lang w:val="ru-RU"/>
        </w:rPr>
        <w:t xml:space="preserve">участников Движения для обеспечения высокого уровня </w:t>
      </w:r>
      <w:r w:rsidRPr="005F7836">
        <w:rPr>
          <w:rFonts w:cs="Arial"/>
          <w:lang w:val="ru-RU"/>
        </w:rPr>
        <w:t xml:space="preserve">ответственного руководства для </w:t>
      </w:r>
      <w:r w:rsidR="000973AF" w:rsidRPr="005F7836">
        <w:rPr>
          <w:rFonts w:cs="Arial"/>
          <w:lang w:val="ru-RU"/>
        </w:rPr>
        <w:t>наших партнеров,  финансовых</w:t>
      </w:r>
      <w:r w:rsidRPr="005F7836">
        <w:rPr>
          <w:rFonts w:cs="Arial"/>
          <w:lang w:val="ru-RU"/>
        </w:rPr>
        <w:t xml:space="preserve"> доноров</w:t>
      </w:r>
      <w:r w:rsidR="000973AF" w:rsidRPr="005F7836">
        <w:rPr>
          <w:rFonts w:cs="Arial"/>
          <w:lang w:val="ru-RU"/>
        </w:rPr>
        <w:t xml:space="preserve"> и</w:t>
      </w:r>
      <w:r w:rsidR="0007180D" w:rsidRPr="005F7836">
        <w:rPr>
          <w:rFonts w:cs="Arial"/>
          <w:lang w:val="ru-RU"/>
        </w:rPr>
        <w:t xml:space="preserve"> благотворительных организаций</w:t>
      </w:r>
      <w:r w:rsidRPr="005F7836">
        <w:rPr>
          <w:rFonts w:cs="Arial"/>
          <w:lang w:val="ru-RU"/>
        </w:rPr>
        <w:t xml:space="preserve">. </w:t>
      </w:r>
    </w:p>
    <w:p w14:paraId="5D036A0E" w14:textId="1FBBF526" w:rsidR="006224E3" w:rsidRPr="005F7836" w:rsidRDefault="0007180D" w:rsidP="004B5189">
      <w:pPr>
        <w:pStyle w:val="CoDNormal"/>
        <w:rPr>
          <w:rFonts w:cs="Arial"/>
          <w:lang w:val="ru-RU"/>
        </w:rPr>
      </w:pPr>
      <w:r w:rsidRPr="005F7836">
        <w:rPr>
          <w:rFonts w:cs="Arial"/>
          <w:lang w:val="ru-RU"/>
        </w:rPr>
        <w:t>Были определены ц</w:t>
      </w:r>
      <w:r w:rsidR="006224E3" w:rsidRPr="005F7836">
        <w:rPr>
          <w:rFonts w:cs="Arial"/>
          <w:lang w:val="ru-RU"/>
        </w:rPr>
        <w:t>ели</w:t>
      </w:r>
      <w:r w:rsidRPr="005F7836">
        <w:rPr>
          <w:rFonts w:cs="Arial"/>
          <w:lang w:val="ru-RU"/>
        </w:rPr>
        <w:t>, дополняющие цели</w:t>
      </w:r>
      <w:r w:rsidR="006224E3" w:rsidRPr="005F7836">
        <w:rPr>
          <w:rFonts w:cs="Arial"/>
          <w:lang w:val="ru-RU"/>
        </w:rPr>
        <w:t xml:space="preserve"> стратегии </w:t>
      </w:r>
      <w:r w:rsidRPr="005F7836">
        <w:rPr>
          <w:rFonts w:cs="Arial"/>
          <w:lang w:val="ru-RU"/>
        </w:rPr>
        <w:t>МФОККиКП по мобилизации ресурсов</w:t>
      </w:r>
      <w:r w:rsidR="006224E3" w:rsidRPr="005F7836">
        <w:rPr>
          <w:rFonts w:cs="Arial"/>
          <w:lang w:val="ru-RU"/>
        </w:rPr>
        <w:t>: быт</w:t>
      </w:r>
      <w:r w:rsidRPr="005F7836">
        <w:rPr>
          <w:rFonts w:cs="Arial"/>
          <w:lang w:val="ru-RU"/>
        </w:rPr>
        <w:t>ь</w:t>
      </w:r>
      <w:r w:rsidR="006224E3" w:rsidRPr="005F7836">
        <w:rPr>
          <w:rFonts w:cs="Arial"/>
          <w:lang w:val="ru-RU"/>
        </w:rPr>
        <w:t xml:space="preserve"> ли</w:t>
      </w:r>
      <w:r w:rsidRPr="005F7836">
        <w:rPr>
          <w:rFonts w:cs="Arial"/>
          <w:lang w:val="ru-RU"/>
        </w:rPr>
        <w:t>д</w:t>
      </w:r>
      <w:r w:rsidR="006224E3" w:rsidRPr="005F7836">
        <w:rPr>
          <w:rFonts w:cs="Arial"/>
          <w:lang w:val="ru-RU"/>
        </w:rPr>
        <w:t xml:space="preserve">ерами в области </w:t>
      </w:r>
      <w:r w:rsidRPr="005F7836">
        <w:rPr>
          <w:rFonts w:cs="Arial"/>
          <w:lang w:val="ru-RU"/>
        </w:rPr>
        <w:t>мобилизации</w:t>
      </w:r>
      <w:r w:rsidR="006224E3" w:rsidRPr="005F7836">
        <w:rPr>
          <w:rFonts w:cs="Arial"/>
          <w:lang w:val="ru-RU"/>
        </w:rPr>
        <w:t xml:space="preserve"> ресурсов для гуманитарной деятельности</w:t>
      </w:r>
      <w:r w:rsidRPr="005F7836">
        <w:rPr>
          <w:rFonts w:cs="Arial"/>
          <w:lang w:val="ru-RU"/>
        </w:rPr>
        <w:t xml:space="preserve"> на местном и международном уровне; максимально использовать</w:t>
      </w:r>
      <w:r w:rsidR="006224E3" w:rsidRPr="005F7836">
        <w:rPr>
          <w:rFonts w:cs="Arial"/>
          <w:lang w:val="ru-RU"/>
        </w:rPr>
        <w:t xml:space="preserve"> </w:t>
      </w:r>
      <w:r w:rsidRPr="005F7836">
        <w:rPr>
          <w:rFonts w:cs="Arial"/>
          <w:lang w:val="ru-RU"/>
        </w:rPr>
        <w:t>«</w:t>
      </w:r>
      <w:r w:rsidR="006224E3" w:rsidRPr="005F7836">
        <w:rPr>
          <w:rFonts w:cs="Arial"/>
          <w:lang w:val="ru-RU"/>
        </w:rPr>
        <w:t>силу гуманности</w:t>
      </w:r>
      <w:r w:rsidRPr="005F7836">
        <w:rPr>
          <w:rFonts w:cs="Arial"/>
          <w:lang w:val="ru-RU"/>
        </w:rPr>
        <w:t>», особенно во время ЧС, предоставляя возможности партнерам и благотворительным организациям</w:t>
      </w:r>
      <w:r w:rsidR="00DE137F" w:rsidRPr="005F7836">
        <w:rPr>
          <w:rFonts w:cs="Arial"/>
          <w:lang w:val="ru-RU"/>
        </w:rPr>
        <w:t xml:space="preserve"> оказывать</w:t>
      </w:r>
      <w:r w:rsidR="006224E3" w:rsidRPr="005F7836">
        <w:rPr>
          <w:rFonts w:cs="Arial"/>
          <w:lang w:val="ru-RU"/>
        </w:rPr>
        <w:t xml:space="preserve"> помощь тем, кто находится в наи</w:t>
      </w:r>
      <w:r w:rsidRPr="005F7836">
        <w:rPr>
          <w:rFonts w:cs="Arial"/>
          <w:lang w:val="ru-RU"/>
        </w:rPr>
        <w:t>более уязвимом</w:t>
      </w:r>
      <w:r w:rsidR="006224E3" w:rsidRPr="005F7836">
        <w:rPr>
          <w:rFonts w:cs="Arial"/>
          <w:lang w:val="ru-RU"/>
        </w:rPr>
        <w:t xml:space="preserve"> положении; и обеспечивать индивидуальную и </w:t>
      </w:r>
      <w:r w:rsidRPr="005F7836">
        <w:rPr>
          <w:rFonts w:cs="Arial"/>
          <w:lang w:val="ru-RU"/>
        </w:rPr>
        <w:t>коллективную финансовую устойчивость на основе принципов</w:t>
      </w:r>
      <w:r w:rsidR="006224E3" w:rsidRPr="005F7836">
        <w:rPr>
          <w:rFonts w:cs="Arial"/>
          <w:lang w:val="ru-RU"/>
        </w:rPr>
        <w:t xml:space="preserve"> </w:t>
      </w:r>
      <w:r w:rsidRPr="005F7836">
        <w:rPr>
          <w:rFonts w:cs="Arial"/>
          <w:lang w:val="ru-RU"/>
        </w:rPr>
        <w:t>солидарности</w:t>
      </w:r>
      <w:r w:rsidR="006224E3" w:rsidRPr="005F7836">
        <w:rPr>
          <w:rFonts w:cs="Arial"/>
          <w:lang w:val="ru-RU"/>
        </w:rPr>
        <w:t xml:space="preserve"> и </w:t>
      </w:r>
      <w:r w:rsidRPr="005F7836">
        <w:rPr>
          <w:rFonts w:cs="Arial"/>
          <w:lang w:val="ru-RU"/>
        </w:rPr>
        <w:t>эффективного</w:t>
      </w:r>
      <w:r w:rsidR="006224E3" w:rsidRPr="005F7836">
        <w:rPr>
          <w:rFonts w:cs="Arial"/>
          <w:lang w:val="ru-RU"/>
        </w:rPr>
        <w:t xml:space="preserve"> </w:t>
      </w:r>
      <w:r w:rsidRPr="005F7836">
        <w:rPr>
          <w:rFonts w:cs="Arial"/>
          <w:lang w:val="ru-RU"/>
        </w:rPr>
        <w:t xml:space="preserve">партнерства, </w:t>
      </w:r>
      <w:r w:rsidR="006224E3" w:rsidRPr="005F7836">
        <w:rPr>
          <w:rFonts w:cs="Arial"/>
          <w:lang w:val="ru-RU"/>
        </w:rPr>
        <w:t>признавая</w:t>
      </w:r>
      <w:r w:rsidRPr="005F7836">
        <w:rPr>
          <w:rFonts w:cs="Arial"/>
          <w:lang w:val="ru-RU"/>
        </w:rPr>
        <w:t xml:space="preserve"> таким образом, что, выступая как единое целое, Движение</w:t>
      </w:r>
      <w:r w:rsidR="006224E3" w:rsidRPr="005F7836">
        <w:rPr>
          <w:rFonts w:cs="Arial"/>
          <w:lang w:val="ru-RU"/>
        </w:rPr>
        <w:t xml:space="preserve"> </w:t>
      </w:r>
      <w:r w:rsidR="000244FA" w:rsidRPr="005F7836">
        <w:rPr>
          <w:rFonts w:cs="Arial"/>
          <w:lang w:val="ru-RU"/>
        </w:rPr>
        <w:t>способно обеспечить более высокие результаты, чем могут дать</w:t>
      </w:r>
      <w:r w:rsidR="006224E3" w:rsidRPr="005F7836">
        <w:rPr>
          <w:rFonts w:cs="Arial"/>
          <w:lang w:val="ru-RU"/>
        </w:rPr>
        <w:t xml:space="preserve"> суммарные усилия </w:t>
      </w:r>
      <w:r w:rsidR="000244FA" w:rsidRPr="005F7836">
        <w:rPr>
          <w:rFonts w:cs="Arial"/>
          <w:lang w:val="ru-RU"/>
        </w:rPr>
        <w:t>его отдельных участников</w:t>
      </w:r>
      <w:r w:rsidR="006224E3" w:rsidRPr="005F7836">
        <w:rPr>
          <w:rFonts w:cs="Arial"/>
          <w:lang w:val="ru-RU"/>
        </w:rPr>
        <w:t>.</w:t>
      </w:r>
    </w:p>
    <w:p w14:paraId="43767AD2" w14:textId="23D060E0" w:rsidR="00C8747F" w:rsidRPr="005F7836" w:rsidRDefault="000244FA" w:rsidP="006A3D89">
      <w:pPr>
        <w:pStyle w:val="CoDNormal"/>
        <w:keepNext/>
        <w:rPr>
          <w:rFonts w:cs="Arial"/>
          <w:lang w:val="ru-RU"/>
        </w:rPr>
      </w:pPr>
      <w:r w:rsidRPr="005F7836">
        <w:rPr>
          <w:rFonts w:cs="Arial"/>
          <w:lang w:val="ru-RU"/>
        </w:rPr>
        <w:t>Принципы подчеркивают</w:t>
      </w:r>
      <w:r w:rsidR="006224E3" w:rsidRPr="005F7836">
        <w:rPr>
          <w:rFonts w:cs="Arial"/>
          <w:lang w:val="ru-RU"/>
        </w:rPr>
        <w:t xml:space="preserve"> важность</w:t>
      </w:r>
      <w:r w:rsidR="00C8747F" w:rsidRPr="005F7836">
        <w:rPr>
          <w:rFonts w:cs="Arial"/>
          <w:lang w:val="ru-RU"/>
        </w:rPr>
        <w:t>:</w:t>
      </w:r>
    </w:p>
    <w:p w14:paraId="3352AE78" w14:textId="129FC874" w:rsidR="00C8747F" w:rsidRPr="005F7836" w:rsidRDefault="000244FA" w:rsidP="004B5189">
      <w:pPr>
        <w:pStyle w:val="CoDBullet"/>
        <w:rPr>
          <w:rFonts w:cs="Arial"/>
          <w:lang w:val="ru-RU"/>
        </w:rPr>
      </w:pPr>
      <w:r w:rsidRPr="005F7836">
        <w:rPr>
          <w:rFonts w:cs="Arial"/>
          <w:lang w:val="ru-RU"/>
        </w:rPr>
        <w:t>Максимального увеличения объема доходов</w:t>
      </w:r>
      <w:r w:rsidR="006224E3" w:rsidRPr="005F7836">
        <w:rPr>
          <w:rFonts w:cs="Arial"/>
          <w:lang w:val="ru-RU"/>
        </w:rPr>
        <w:t>, чтобы до</w:t>
      </w:r>
      <w:r w:rsidRPr="005F7836">
        <w:rPr>
          <w:rFonts w:cs="Arial"/>
          <w:lang w:val="ru-RU"/>
        </w:rPr>
        <w:t>с</w:t>
      </w:r>
      <w:r w:rsidR="006224E3" w:rsidRPr="005F7836">
        <w:rPr>
          <w:rFonts w:cs="Arial"/>
          <w:lang w:val="ru-RU"/>
        </w:rPr>
        <w:t>тигнуть</w:t>
      </w:r>
      <w:r w:rsidRPr="005F7836">
        <w:rPr>
          <w:rFonts w:cs="Arial"/>
          <w:lang w:val="ru-RU"/>
        </w:rPr>
        <w:t xml:space="preserve"> поставленных</w:t>
      </w:r>
      <w:r w:rsidR="006224E3" w:rsidRPr="005F7836">
        <w:rPr>
          <w:rFonts w:cs="Arial"/>
          <w:lang w:val="ru-RU"/>
        </w:rPr>
        <w:t xml:space="preserve"> целей и реализовать концепцию</w:t>
      </w:r>
      <w:r w:rsidR="00C8747F" w:rsidRPr="005F7836">
        <w:rPr>
          <w:rFonts w:cs="Arial"/>
          <w:lang w:val="ru-RU"/>
        </w:rPr>
        <w:t>;</w:t>
      </w:r>
    </w:p>
    <w:p w14:paraId="05FC05D1" w14:textId="20C9F3CC" w:rsidR="00C8747F" w:rsidRPr="005F7836" w:rsidRDefault="000244FA" w:rsidP="004B5189">
      <w:pPr>
        <w:pStyle w:val="CoDBullet"/>
        <w:rPr>
          <w:rFonts w:cs="Arial"/>
          <w:lang w:val="ru-RU"/>
        </w:rPr>
      </w:pPr>
      <w:r w:rsidRPr="005F7836">
        <w:rPr>
          <w:rFonts w:cs="Arial"/>
          <w:lang w:val="ru-RU"/>
        </w:rPr>
        <w:t>Работы</w:t>
      </w:r>
      <w:r w:rsidR="00A178E8" w:rsidRPr="005F7836">
        <w:rPr>
          <w:rFonts w:cs="Arial"/>
          <w:lang w:val="ru-RU"/>
        </w:rPr>
        <w:t xml:space="preserve"> на основе принципов солидарности и </w:t>
      </w:r>
      <w:r w:rsidRPr="005F7836">
        <w:rPr>
          <w:rFonts w:cs="Arial"/>
          <w:lang w:val="ru-RU"/>
        </w:rPr>
        <w:t>эффективного</w:t>
      </w:r>
      <w:r w:rsidR="00A178E8" w:rsidRPr="005F7836">
        <w:rPr>
          <w:rFonts w:cs="Arial"/>
          <w:lang w:val="ru-RU"/>
        </w:rPr>
        <w:t xml:space="preserve"> </w:t>
      </w:r>
      <w:r w:rsidRPr="005F7836">
        <w:rPr>
          <w:rFonts w:cs="Arial"/>
          <w:lang w:val="ru-RU"/>
        </w:rPr>
        <w:t>партнерства</w:t>
      </w:r>
      <w:r w:rsidR="00C8747F" w:rsidRPr="005F7836">
        <w:rPr>
          <w:rFonts w:cs="Arial"/>
          <w:lang w:val="ru-RU"/>
        </w:rPr>
        <w:t>;</w:t>
      </w:r>
    </w:p>
    <w:p w14:paraId="3077DCB2" w14:textId="2A26910E" w:rsidR="00C8747F" w:rsidRPr="005F7836" w:rsidRDefault="000244FA" w:rsidP="004B5189">
      <w:pPr>
        <w:pStyle w:val="CoDBullet"/>
        <w:rPr>
          <w:rFonts w:cs="Arial"/>
          <w:lang w:val="ru-RU"/>
        </w:rPr>
      </w:pPr>
      <w:r w:rsidRPr="005F7836">
        <w:rPr>
          <w:rFonts w:cs="Arial"/>
          <w:lang w:val="ru-RU"/>
        </w:rPr>
        <w:lastRenderedPageBreak/>
        <w:t>Признания уникальной роли и мандатов</w:t>
      </w:r>
      <w:r w:rsidR="00A178E8" w:rsidRPr="005F7836">
        <w:rPr>
          <w:rFonts w:cs="Arial"/>
          <w:lang w:val="ru-RU"/>
        </w:rPr>
        <w:t xml:space="preserve"> </w:t>
      </w:r>
      <w:r w:rsidRPr="005F7836">
        <w:rPr>
          <w:rFonts w:cs="Arial"/>
          <w:lang w:val="ru-RU"/>
        </w:rPr>
        <w:t>участников</w:t>
      </w:r>
      <w:r w:rsidR="00A178E8" w:rsidRPr="005F7836">
        <w:rPr>
          <w:rFonts w:cs="Arial"/>
          <w:lang w:val="ru-RU"/>
        </w:rPr>
        <w:t xml:space="preserve"> </w:t>
      </w:r>
      <w:r w:rsidRPr="005F7836">
        <w:rPr>
          <w:rFonts w:cs="Arial"/>
          <w:lang w:val="ru-RU"/>
        </w:rPr>
        <w:t xml:space="preserve">Движения и </w:t>
      </w:r>
      <w:r w:rsidR="00DE137F" w:rsidRPr="005F7836">
        <w:rPr>
          <w:rFonts w:cs="Arial"/>
          <w:lang w:val="ru-RU"/>
        </w:rPr>
        <w:t>понимания имеющихся преимуществ</w:t>
      </w:r>
      <w:r w:rsidRPr="005F7836">
        <w:rPr>
          <w:rFonts w:cs="Arial"/>
          <w:lang w:val="ru-RU"/>
        </w:rPr>
        <w:t xml:space="preserve"> для моб</w:t>
      </w:r>
      <w:r w:rsidR="00A178E8" w:rsidRPr="005F7836">
        <w:rPr>
          <w:rFonts w:cs="Arial"/>
          <w:lang w:val="ru-RU"/>
        </w:rPr>
        <w:t>илизации ресурсов</w:t>
      </w:r>
      <w:r w:rsidR="004B5189" w:rsidRPr="005F7836">
        <w:rPr>
          <w:rFonts w:cs="Arial"/>
          <w:lang w:val="ru-RU"/>
        </w:rPr>
        <w:t>;</w:t>
      </w:r>
    </w:p>
    <w:p w14:paraId="015A743B" w14:textId="1D293AF8" w:rsidR="00391CC4" w:rsidRPr="005F7836" w:rsidRDefault="000244FA" w:rsidP="004B5189">
      <w:pPr>
        <w:pStyle w:val="CoDBullet"/>
        <w:rPr>
          <w:rFonts w:cs="Arial"/>
          <w:lang w:val="ru-RU"/>
        </w:rPr>
      </w:pPr>
      <w:r w:rsidRPr="005F7836">
        <w:rPr>
          <w:rFonts w:cs="Arial"/>
          <w:lang w:val="ru-RU"/>
        </w:rPr>
        <w:t>Осуществления согласованного</w:t>
      </w:r>
      <w:r w:rsidR="00A178E8" w:rsidRPr="005F7836">
        <w:rPr>
          <w:rFonts w:cs="Arial"/>
          <w:lang w:val="ru-RU"/>
        </w:rPr>
        <w:t xml:space="preserve"> и </w:t>
      </w:r>
      <w:r w:rsidRPr="005F7836">
        <w:rPr>
          <w:rFonts w:cs="Arial"/>
          <w:lang w:val="ru-RU"/>
        </w:rPr>
        <w:t>эффективного подхода к мобилизации ресурсов и продолжения усилий по развитию потенциала национальных обществ в этой области.</w:t>
      </w:r>
      <w:r w:rsidR="00A178E8" w:rsidRPr="005F7836">
        <w:rPr>
          <w:rFonts w:cs="Arial"/>
          <w:lang w:val="ru-RU"/>
        </w:rPr>
        <w:t xml:space="preserve"> </w:t>
      </w:r>
    </w:p>
    <w:p w14:paraId="78EB4D25" w14:textId="54EF2E09" w:rsidR="00267D3B" w:rsidRPr="005F7836" w:rsidRDefault="00C35D42" w:rsidP="004B5189">
      <w:pPr>
        <w:pStyle w:val="CoDNormal"/>
        <w:rPr>
          <w:rFonts w:cs="Arial"/>
          <w:lang w:val="ru-RU"/>
        </w:rPr>
      </w:pPr>
      <w:r w:rsidRPr="005F7836">
        <w:rPr>
          <w:rFonts w:cs="Arial"/>
          <w:lang w:val="ru-RU"/>
        </w:rPr>
        <w:t>В целом</w:t>
      </w:r>
      <w:r w:rsidR="00C8747F" w:rsidRPr="005F7836">
        <w:rPr>
          <w:rFonts w:cs="Arial"/>
          <w:lang w:val="ru-RU"/>
        </w:rPr>
        <w:t>,</w:t>
      </w:r>
      <w:r w:rsidRPr="005F7836">
        <w:rPr>
          <w:rFonts w:cs="Arial"/>
          <w:lang w:val="ru-RU"/>
        </w:rPr>
        <w:t xml:space="preserve"> национальные общества активно</w:t>
      </w:r>
      <w:r w:rsidR="009D488A" w:rsidRPr="005F7836">
        <w:rPr>
          <w:rFonts w:cs="Arial"/>
          <w:lang w:val="ru-RU"/>
        </w:rPr>
        <w:t xml:space="preserve"> ра</w:t>
      </w:r>
      <w:r w:rsidRPr="005F7836">
        <w:rPr>
          <w:rFonts w:cs="Arial"/>
          <w:lang w:val="ru-RU"/>
        </w:rPr>
        <w:t>ботали над темами, кото</w:t>
      </w:r>
      <w:r w:rsidR="009D488A" w:rsidRPr="005F7836">
        <w:rPr>
          <w:rFonts w:cs="Arial"/>
          <w:lang w:val="ru-RU"/>
        </w:rPr>
        <w:t>р</w:t>
      </w:r>
      <w:r w:rsidRPr="005F7836">
        <w:rPr>
          <w:rFonts w:cs="Arial"/>
          <w:lang w:val="ru-RU"/>
        </w:rPr>
        <w:t>ы</w:t>
      </w:r>
      <w:r w:rsidR="009D488A" w:rsidRPr="005F7836">
        <w:rPr>
          <w:rFonts w:cs="Arial"/>
          <w:lang w:val="ru-RU"/>
        </w:rPr>
        <w:t>е охваты</w:t>
      </w:r>
      <w:r w:rsidR="00C901D4" w:rsidRPr="005F7836">
        <w:rPr>
          <w:rFonts w:cs="Arial"/>
          <w:lang w:val="ru-RU"/>
        </w:rPr>
        <w:t>ваю</w:t>
      </w:r>
      <w:r w:rsidRPr="005F7836">
        <w:rPr>
          <w:rFonts w:cs="Arial"/>
          <w:lang w:val="ru-RU"/>
        </w:rPr>
        <w:t>т концепция, цели и принципы. Отвечая на вопросы</w:t>
      </w:r>
      <w:r w:rsidR="009D488A" w:rsidRPr="005F7836">
        <w:rPr>
          <w:rFonts w:cs="Arial"/>
          <w:lang w:val="ru-RU"/>
        </w:rPr>
        <w:t xml:space="preserve">, большинство респондентов </w:t>
      </w:r>
      <w:r w:rsidRPr="005F7836">
        <w:rPr>
          <w:rFonts w:cs="Arial"/>
          <w:lang w:val="ru-RU"/>
        </w:rPr>
        <w:t>выразили свое согласие</w:t>
      </w:r>
      <w:r w:rsidR="009D488A" w:rsidRPr="005F7836">
        <w:rPr>
          <w:rFonts w:cs="Arial"/>
          <w:lang w:val="ru-RU"/>
        </w:rPr>
        <w:t xml:space="preserve"> или решительно</w:t>
      </w:r>
      <w:r w:rsidRPr="005F7836">
        <w:rPr>
          <w:rFonts w:cs="Arial"/>
          <w:lang w:val="ru-RU"/>
        </w:rPr>
        <w:t>е согласие с тем, что эти темы явля</w:t>
      </w:r>
      <w:r w:rsidR="009D488A" w:rsidRPr="005F7836">
        <w:rPr>
          <w:rFonts w:cs="Arial"/>
          <w:lang w:val="ru-RU"/>
        </w:rPr>
        <w:t>ютс</w:t>
      </w:r>
      <w:r w:rsidRPr="005F7836">
        <w:rPr>
          <w:rFonts w:cs="Arial"/>
          <w:lang w:val="ru-RU"/>
        </w:rPr>
        <w:t>я актуаль</w:t>
      </w:r>
      <w:r w:rsidR="009D488A" w:rsidRPr="005F7836">
        <w:rPr>
          <w:rFonts w:cs="Arial"/>
          <w:lang w:val="ru-RU"/>
        </w:rPr>
        <w:t>н</w:t>
      </w:r>
      <w:r w:rsidRPr="005F7836">
        <w:rPr>
          <w:rFonts w:cs="Arial"/>
          <w:lang w:val="ru-RU"/>
        </w:rPr>
        <w:t>ыми. Наибольший урове</w:t>
      </w:r>
      <w:r w:rsidR="00267D3B" w:rsidRPr="005F7836">
        <w:rPr>
          <w:rFonts w:cs="Arial"/>
          <w:lang w:val="ru-RU"/>
        </w:rPr>
        <w:t>нь поддержки получило следующее утверждение</w:t>
      </w:r>
      <w:r w:rsidRPr="005F7836">
        <w:rPr>
          <w:rFonts w:cs="Arial"/>
          <w:lang w:val="ru-RU"/>
        </w:rPr>
        <w:t>:  “Важно осуще</w:t>
      </w:r>
      <w:r w:rsidR="009D488A" w:rsidRPr="005F7836">
        <w:rPr>
          <w:rFonts w:cs="Arial"/>
          <w:lang w:val="ru-RU"/>
        </w:rPr>
        <w:t>с</w:t>
      </w:r>
      <w:r w:rsidRPr="005F7836">
        <w:rPr>
          <w:rFonts w:cs="Arial"/>
          <w:lang w:val="ru-RU"/>
        </w:rPr>
        <w:t xml:space="preserve">твлять привлечение средств на условиях строгой отчетности перед финансовыми </w:t>
      </w:r>
      <w:r w:rsidR="009D488A" w:rsidRPr="005F7836">
        <w:rPr>
          <w:rFonts w:cs="Arial"/>
          <w:lang w:val="ru-RU"/>
        </w:rPr>
        <w:t>донорам</w:t>
      </w:r>
      <w:r w:rsidRPr="005F7836">
        <w:rPr>
          <w:rFonts w:cs="Arial"/>
          <w:lang w:val="ru-RU"/>
        </w:rPr>
        <w:t>и</w:t>
      </w:r>
      <w:r w:rsidR="009D488A" w:rsidRPr="005F7836">
        <w:rPr>
          <w:rFonts w:cs="Arial"/>
          <w:lang w:val="ru-RU"/>
        </w:rPr>
        <w:t xml:space="preserve"> и сообществам</w:t>
      </w:r>
      <w:r w:rsidRPr="005F7836">
        <w:rPr>
          <w:rFonts w:cs="Arial"/>
          <w:lang w:val="ru-RU"/>
        </w:rPr>
        <w:t>и</w:t>
      </w:r>
      <w:r w:rsidR="009D488A" w:rsidRPr="005F7836">
        <w:rPr>
          <w:rFonts w:cs="Arial"/>
          <w:lang w:val="ru-RU"/>
        </w:rPr>
        <w:t xml:space="preserve">, </w:t>
      </w:r>
      <w:r w:rsidRPr="005F7836">
        <w:rPr>
          <w:rFonts w:cs="Arial"/>
          <w:lang w:val="ru-RU"/>
        </w:rPr>
        <w:t>к</w:t>
      </w:r>
      <w:r w:rsidR="00267D3B" w:rsidRPr="005F7836">
        <w:rPr>
          <w:rFonts w:cs="Arial"/>
          <w:lang w:val="ru-RU"/>
        </w:rPr>
        <w:t>оторые мы обслуживаем”. С ним согласились или решительно согласились</w:t>
      </w:r>
      <w:r w:rsidRPr="005F7836">
        <w:rPr>
          <w:rFonts w:cs="Arial"/>
          <w:lang w:val="ru-RU"/>
        </w:rPr>
        <w:t xml:space="preserve"> 97% или 90 национальных обществ.</w:t>
      </w:r>
      <w:r w:rsidR="00267D3B" w:rsidRPr="005F7836">
        <w:rPr>
          <w:rFonts w:cs="Arial"/>
          <w:lang w:val="ru-RU"/>
        </w:rPr>
        <w:t xml:space="preserve"> Вторым по популярности оказалось утверждение</w:t>
      </w:r>
      <w:r w:rsidRPr="005F7836">
        <w:rPr>
          <w:rFonts w:cs="Arial"/>
          <w:lang w:val="ru-RU"/>
        </w:rPr>
        <w:t xml:space="preserve"> </w:t>
      </w:r>
      <w:r w:rsidR="009D488A" w:rsidRPr="005F7836">
        <w:rPr>
          <w:rFonts w:cs="Arial"/>
          <w:lang w:val="ru-RU"/>
        </w:rPr>
        <w:t xml:space="preserve"> “Важно </w:t>
      </w:r>
      <w:r w:rsidR="00267D3B" w:rsidRPr="005F7836">
        <w:rPr>
          <w:rFonts w:cs="Arial"/>
          <w:lang w:val="ru-RU"/>
        </w:rPr>
        <w:t>поддерживать</w:t>
      </w:r>
      <w:r w:rsidR="009D488A" w:rsidRPr="005F7836">
        <w:rPr>
          <w:rFonts w:cs="Arial"/>
          <w:lang w:val="ru-RU"/>
        </w:rPr>
        <w:t xml:space="preserve"> развитие потенциала</w:t>
      </w:r>
      <w:r w:rsidR="00267D3B" w:rsidRPr="005F7836">
        <w:rPr>
          <w:rFonts w:cs="Arial"/>
          <w:lang w:val="ru-RU"/>
        </w:rPr>
        <w:t xml:space="preserve"> национальных обществ</w:t>
      </w:r>
      <w:r w:rsidR="009D488A" w:rsidRPr="005F7836">
        <w:rPr>
          <w:rFonts w:cs="Arial"/>
          <w:lang w:val="ru-RU"/>
        </w:rPr>
        <w:t xml:space="preserve"> в области привлечения средств”, с чем согласились или решительно согласились </w:t>
      </w:r>
      <w:r w:rsidR="00C27AEE" w:rsidRPr="005F7836">
        <w:rPr>
          <w:rFonts w:cs="Arial"/>
          <w:lang w:val="ru-RU"/>
        </w:rPr>
        <w:t>9</w:t>
      </w:r>
      <w:r w:rsidR="00564E7B" w:rsidRPr="005F7836">
        <w:rPr>
          <w:rFonts w:cs="Arial"/>
          <w:lang w:val="ru-RU"/>
        </w:rPr>
        <w:t>7</w:t>
      </w:r>
      <w:r w:rsidR="00C27AEE" w:rsidRPr="005F7836">
        <w:rPr>
          <w:rFonts w:cs="Arial"/>
          <w:lang w:val="ru-RU"/>
        </w:rPr>
        <w:t xml:space="preserve">% </w:t>
      </w:r>
      <w:r w:rsidR="009D488A" w:rsidRPr="005F7836">
        <w:rPr>
          <w:rFonts w:cs="Arial"/>
          <w:lang w:val="ru-RU"/>
        </w:rPr>
        <w:t>или</w:t>
      </w:r>
      <w:r w:rsidR="00E15865" w:rsidRPr="005F7836">
        <w:rPr>
          <w:rFonts w:cs="Arial"/>
          <w:lang w:val="ru-RU"/>
        </w:rPr>
        <w:t xml:space="preserve"> </w:t>
      </w:r>
      <w:r w:rsidR="00C27AEE" w:rsidRPr="005F7836">
        <w:rPr>
          <w:rFonts w:cs="Arial"/>
          <w:lang w:val="ru-RU"/>
        </w:rPr>
        <w:t>9</w:t>
      </w:r>
      <w:r w:rsidR="00564E7B" w:rsidRPr="005F7836">
        <w:rPr>
          <w:rFonts w:cs="Arial"/>
          <w:lang w:val="ru-RU"/>
        </w:rPr>
        <w:t>1</w:t>
      </w:r>
      <w:r w:rsidR="00C27AEE" w:rsidRPr="005F7836">
        <w:rPr>
          <w:rFonts w:cs="Arial"/>
          <w:lang w:val="ru-RU"/>
        </w:rPr>
        <w:t xml:space="preserve"> </w:t>
      </w:r>
      <w:r w:rsidR="00267D3B" w:rsidRPr="005F7836">
        <w:rPr>
          <w:rFonts w:cs="Arial"/>
          <w:lang w:val="ru-RU"/>
        </w:rPr>
        <w:t>национальное общество</w:t>
      </w:r>
      <w:r w:rsidR="009D488A" w:rsidRPr="005F7836">
        <w:rPr>
          <w:rFonts w:cs="Arial"/>
          <w:lang w:val="ru-RU"/>
        </w:rPr>
        <w:t xml:space="preserve">. </w:t>
      </w:r>
    </w:p>
    <w:p w14:paraId="1BEC3DCE" w14:textId="41BA647D" w:rsidR="007A50FF" w:rsidRPr="005F7836" w:rsidRDefault="007A50FF" w:rsidP="004B5189">
      <w:pPr>
        <w:pStyle w:val="CoDNormal"/>
        <w:rPr>
          <w:rFonts w:cs="Arial"/>
          <w:b/>
          <w:lang w:val="ru-RU"/>
        </w:rPr>
      </w:pPr>
      <w:r w:rsidRPr="005F7836">
        <w:rPr>
          <w:rFonts w:cs="Arial"/>
          <w:b/>
          <w:lang w:val="ru-RU"/>
        </w:rPr>
        <w:t>Во</w:t>
      </w:r>
      <w:r w:rsidR="00267D3B" w:rsidRPr="005F7836">
        <w:rPr>
          <w:rFonts w:cs="Arial"/>
          <w:b/>
          <w:lang w:val="ru-RU"/>
        </w:rPr>
        <w:t>прос 2. Участники Движения взяли на себя обязательства раз</w:t>
      </w:r>
      <w:r w:rsidRPr="005F7836">
        <w:rPr>
          <w:rFonts w:cs="Arial"/>
          <w:b/>
          <w:lang w:val="ru-RU"/>
        </w:rPr>
        <w:t xml:space="preserve">работать принципы </w:t>
      </w:r>
      <w:r w:rsidR="00267D3B" w:rsidRPr="005F7836">
        <w:rPr>
          <w:rFonts w:cs="Arial"/>
          <w:b/>
          <w:lang w:val="ru-RU"/>
        </w:rPr>
        <w:t>мобилизации</w:t>
      </w:r>
      <w:r w:rsidRPr="005F7836">
        <w:rPr>
          <w:rFonts w:cs="Arial"/>
          <w:b/>
          <w:lang w:val="ru-RU"/>
        </w:rPr>
        <w:t xml:space="preserve"> ресурсо</w:t>
      </w:r>
      <w:r w:rsidR="00267D3B" w:rsidRPr="005F7836">
        <w:rPr>
          <w:rFonts w:cs="Arial"/>
          <w:b/>
          <w:lang w:val="ru-RU"/>
        </w:rPr>
        <w:t>в для всех участников Движения с</w:t>
      </w:r>
      <w:r w:rsidRPr="005F7836">
        <w:rPr>
          <w:rFonts w:cs="Arial"/>
          <w:b/>
          <w:lang w:val="ru-RU"/>
        </w:rPr>
        <w:t xml:space="preserve"> целью </w:t>
      </w:r>
      <w:r w:rsidR="00267D3B" w:rsidRPr="005F7836">
        <w:rPr>
          <w:rFonts w:cs="Arial"/>
          <w:b/>
          <w:lang w:val="ru-RU"/>
        </w:rPr>
        <w:t>максимального расширения потенциала по привлечению</w:t>
      </w:r>
      <w:r w:rsidRPr="005F7836">
        <w:rPr>
          <w:rFonts w:cs="Arial"/>
          <w:b/>
          <w:lang w:val="ru-RU"/>
        </w:rPr>
        <w:t xml:space="preserve"> средств. В какой степени вы согласны или не </w:t>
      </w:r>
      <w:r w:rsidR="00267D3B" w:rsidRPr="005F7836">
        <w:rPr>
          <w:rFonts w:cs="Arial"/>
          <w:b/>
          <w:lang w:val="ru-RU"/>
        </w:rPr>
        <w:t>согласны с перечисленными утверждениями</w:t>
      </w:r>
      <w:r w:rsidRPr="005F7836">
        <w:rPr>
          <w:rFonts w:cs="Arial"/>
          <w:b/>
          <w:lang w:val="ru-RU"/>
        </w:rPr>
        <w:t>?</w:t>
      </w:r>
    </w:p>
    <w:p w14:paraId="3E948048" w14:textId="15C75082" w:rsidR="00C27AEE" w:rsidRPr="005F7836" w:rsidRDefault="000A4A54" w:rsidP="004B5189">
      <w:pPr>
        <w:pStyle w:val="CoDNormal"/>
        <w:rPr>
          <w:rFonts w:cs="Arial"/>
          <w:lang w:val="ru-RU"/>
        </w:rPr>
      </w:pPr>
      <w:r w:rsidRPr="005F7836">
        <w:rPr>
          <w:rFonts w:cs="Arial"/>
          <w:noProof/>
          <w:lang w:val="ru-RU" w:eastAsia="ru-RU"/>
        </w:rPr>
        <w:drawing>
          <wp:inline distT="0" distB="0" distL="0" distR="0" wp14:anchorId="1A683CFB" wp14:editId="18AC0670">
            <wp:extent cx="6159398" cy="2911450"/>
            <wp:effectExtent l="0" t="0" r="13335"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11A82F" w14:textId="59FA3ABA" w:rsidR="00956EC7" w:rsidRPr="005F7836" w:rsidRDefault="007A50FF" w:rsidP="004B5189">
      <w:pPr>
        <w:pStyle w:val="CoDNormal"/>
        <w:rPr>
          <w:rFonts w:cs="Arial"/>
          <w:lang w:val="ru-RU"/>
        </w:rPr>
      </w:pPr>
      <w:r w:rsidRPr="005F7836">
        <w:rPr>
          <w:rFonts w:cs="Arial"/>
          <w:lang w:val="ru-RU"/>
        </w:rPr>
        <w:t>Национальным обществам был зада</w:t>
      </w:r>
      <w:r w:rsidR="00037A0F" w:rsidRPr="005F7836">
        <w:rPr>
          <w:rFonts w:cs="Arial"/>
          <w:lang w:val="ru-RU"/>
        </w:rPr>
        <w:t>н вопрос, хотели бы они найти отражение в принципах каких</w:t>
      </w:r>
      <w:r w:rsidR="00267D3B" w:rsidRPr="005F7836">
        <w:rPr>
          <w:rFonts w:cs="Arial"/>
          <w:lang w:val="ru-RU"/>
        </w:rPr>
        <w:t xml:space="preserve">-либо </w:t>
      </w:r>
      <w:r w:rsidRPr="005F7836">
        <w:rPr>
          <w:rFonts w:cs="Arial"/>
          <w:lang w:val="ru-RU"/>
        </w:rPr>
        <w:t>дополнительн</w:t>
      </w:r>
      <w:r w:rsidR="00037A0F" w:rsidRPr="005F7836">
        <w:rPr>
          <w:rFonts w:cs="Arial"/>
          <w:lang w:val="ru-RU"/>
        </w:rPr>
        <w:t>ых тем</w:t>
      </w:r>
      <w:r w:rsidRPr="005F7836">
        <w:rPr>
          <w:rFonts w:cs="Arial"/>
          <w:lang w:val="ru-RU"/>
        </w:rPr>
        <w:t xml:space="preserve">, на что большинство ответили отрицательно (73% </w:t>
      </w:r>
      <w:r w:rsidR="00267D3B" w:rsidRPr="005F7836">
        <w:rPr>
          <w:rFonts w:cs="Arial"/>
          <w:lang w:val="ru-RU"/>
        </w:rPr>
        <w:t>или 68 национальных обществ</w:t>
      </w:r>
      <w:r w:rsidR="00F249C6" w:rsidRPr="005F7836">
        <w:rPr>
          <w:rFonts w:cs="Arial"/>
          <w:lang w:val="ru-RU"/>
        </w:rPr>
        <w:t>).</w:t>
      </w:r>
    </w:p>
    <w:p w14:paraId="4C80EB3D" w14:textId="480E2AEB" w:rsidR="00956EC7" w:rsidRPr="005F7836" w:rsidRDefault="00956EC7" w:rsidP="004B5189">
      <w:pPr>
        <w:pStyle w:val="CoDNormal"/>
        <w:rPr>
          <w:rFonts w:cs="Arial"/>
          <w:b/>
          <w:lang w:val="ru-RU"/>
        </w:rPr>
      </w:pPr>
      <w:r w:rsidRPr="005F7836">
        <w:rPr>
          <w:rFonts w:cs="Arial"/>
          <w:b/>
          <w:lang w:val="ru-RU"/>
        </w:rPr>
        <w:t xml:space="preserve">Вопрос 3: Есть ли </w:t>
      </w:r>
      <w:r w:rsidR="00267D3B" w:rsidRPr="005F7836">
        <w:rPr>
          <w:rFonts w:cs="Arial"/>
          <w:b/>
          <w:lang w:val="ru-RU"/>
        </w:rPr>
        <w:t>дополнительные темы, которые ваше национальное общество</w:t>
      </w:r>
      <w:r w:rsidRPr="005F7836">
        <w:rPr>
          <w:rFonts w:cs="Arial"/>
          <w:b/>
          <w:lang w:val="ru-RU"/>
        </w:rPr>
        <w:t xml:space="preserve"> хотело бы видеть среди тем, </w:t>
      </w:r>
      <w:r w:rsidR="00037A0F" w:rsidRPr="005F7836">
        <w:rPr>
          <w:rFonts w:cs="Arial"/>
          <w:b/>
          <w:lang w:val="ru-RU"/>
        </w:rPr>
        <w:t>нашедших свое отражение в принципах</w:t>
      </w:r>
      <w:r w:rsidRPr="005F7836">
        <w:rPr>
          <w:rFonts w:cs="Arial"/>
          <w:b/>
          <w:lang w:val="ru-RU"/>
        </w:rPr>
        <w:t xml:space="preserve"> </w:t>
      </w:r>
      <w:r w:rsidR="00267D3B" w:rsidRPr="005F7836">
        <w:rPr>
          <w:rFonts w:cs="Arial"/>
          <w:b/>
          <w:lang w:val="ru-RU"/>
        </w:rPr>
        <w:t>мобилизации</w:t>
      </w:r>
      <w:r w:rsidRPr="005F7836">
        <w:rPr>
          <w:rFonts w:cs="Arial"/>
          <w:b/>
          <w:lang w:val="ru-RU"/>
        </w:rPr>
        <w:t xml:space="preserve"> ресурсов для всех </w:t>
      </w:r>
      <w:r w:rsidR="00267D3B" w:rsidRPr="005F7836">
        <w:rPr>
          <w:rFonts w:cs="Arial"/>
          <w:b/>
          <w:lang w:val="ru-RU"/>
        </w:rPr>
        <w:t>участников</w:t>
      </w:r>
      <w:r w:rsidRPr="005F7836">
        <w:rPr>
          <w:rFonts w:cs="Arial"/>
          <w:b/>
          <w:lang w:val="ru-RU"/>
        </w:rPr>
        <w:t xml:space="preserve"> Движения?</w:t>
      </w:r>
    </w:p>
    <w:p w14:paraId="54675F62" w14:textId="77777777" w:rsidR="00C27AEE" w:rsidRPr="005F7836" w:rsidRDefault="00C27AEE" w:rsidP="003C2484">
      <w:pPr>
        <w:pStyle w:val="CoDNormal"/>
        <w:rPr>
          <w:rFonts w:cs="Arial"/>
          <w:lang w:val="ru-RU"/>
        </w:rPr>
      </w:pPr>
      <w:r w:rsidRPr="005F7836">
        <w:rPr>
          <w:rFonts w:cs="Arial"/>
          <w:noProof/>
          <w:lang w:val="ru-RU" w:eastAsia="ru-RU"/>
        </w:rPr>
        <w:lastRenderedPageBreak/>
        <w:drawing>
          <wp:inline distT="0" distB="0" distL="0" distR="0" wp14:anchorId="4E788372" wp14:editId="005778D8">
            <wp:extent cx="5092065" cy="2501265"/>
            <wp:effectExtent l="0" t="0" r="13335" b="1333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2E994B" w14:textId="0C43EEBD" w:rsidR="00C8747F" w:rsidRPr="005F7836" w:rsidRDefault="00E72005" w:rsidP="004B5189">
      <w:pPr>
        <w:pStyle w:val="CoDHeading2"/>
        <w:rPr>
          <w:rFonts w:cs="Arial"/>
          <w:lang w:val="ru-RU"/>
        </w:rPr>
      </w:pPr>
      <w:r w:rsidRPr="005F7836">
        <w:rPr>
          <w:rFonts w:cs="Arial"/>
          <w:lang w:val="ru-RU"/>
        </w:rPr>
        <w:t>тематические инициативы</w:t>
      </w:r>
    </w:p>
    <w:p w14:paraId="649464D7" w14:textId="4088A0D1" w:rsidR="00F4326B" w:rsidRPr="005F7836" w:rsidRDefault="00037A0F" w:rsidP="004B5189">
      <w:pPr>
        <w:pStyle w:val="CoDHeading3"/>
        <w:rPr>
          <w:rFonts w:cs="Arial"/>
          <w:lang w:val="ru-RU"/>
        </w:rPr>
      </w:pPr>
      <w:r w:rsidRPr="005F7836">
        <w:rPr>
          <w:rFonts w:cs="Arial"/>
          <w:lang w:val="ru-RU"/>
        </w:rPr>
        <w:t>Виртуальная площадка для привлечения</w:t>
      </w:r>
      <w:r w:rsidR="00956EC7" w:rsidRPr="005F7836">
        <w:rPr>
          <w:rFonts w:cs="Arial"/>
          <w:lang w:val="ru-RU"/>
        </w:rPr>
        <w:t xml:space="preserve"> средств</w:t>
      </w:r>
    </w:p>
    <w:p w14:paraId="516938AD" w14:textId="1A0B548F" w:rsidR="001D03DC" w:rsidRPr="005F7836" w:rsidRDefault="00956EC7" w:rsidP="004B5189">
      <w:pPr>
        <w:pStyle w:val="CoDNormal"/>
        <w:rPr>
          <w:rFonts w:cs="Arial"/>
          <w:lang w:val="ru-RU"/>
        </w:rPr>
      </w:pPr>
      <w:r w:rsidRPr="005F7836">
        <w:rPr>
          <w:rFonts w:cs="Arial"/>
          <w:lang w:val="ru-RU"/>
        </w:rPr>
        <w:t xml:space="preserve">Рабочая группа выдвинула идею </w:t>
      </w:r>
      <w:r w:rsidR="009D56FE" w:rsidRPr="005F7836">
        <w:rPr>
          <w:rFonts w:cs="Arial"/>
          <w:lang w:val="ru-RU"/>
        </w:rPr>
        <w:t>создания виртуальной площадки для</w:t>
      </w:r>
      <w:r w:rsidRPr="005F7836">
        <w:rPr>
          <w:rFonts w:cs="Arial"/>
          <w:lang w:val="ru-RU"/>
        </w:rPr>
        <w:t xml:space="preserve"> привлечен</w:t>
      </w:r>
      <w:r w:rsidR="009D56FE" w:rsidRPr="005F7836">
        <w:rPr>
          <w:rFonts w:cs="Arial"/>
          <w:lang w:val="ru-RU"/>
        </w:rPr>
        <w:t>ия</w:t>
      </w:r>
      <w:r w:rsidRPr="005F7836">
        <w:rPr>
          <w:rFonts w:cs="Arial"/>
          <w:lang w:val="ru-RU"/>
        </w:rPr>
        <w:t xml:space="preserve"> средств как способа координации усилий по </w:t>
      </w:r>
      <w:r w:rsidR="002A6D07" w:rsidRPr="005F7836">
        <w:rPr>
          <w:rFonts w:cs="Arial"/>
          <w:lang w:val="ru-RU"/>
        </w:rPr>
        <w:t>мобилизации</w:t>
      </w:r>
      <w:r w:rsidRPr="005F7836">
        <w:rPr>
          <w:rFonts w:cs="Arial"/>
          <w:lang w:val="ru-RU"/>
        </w:rPr>
        <w:t xml:space="preserve"> </w:t>
      </w:r>
      <w:r w:rsidR="002A6D07" w:rsidRPr="005F7836">
        <w:rPr>
          <w:rFonts w:cs="Arial"/>
          <w:lang w:val="ru-RU"/>
        </w:rPr>
        <w:t>ресурсов</w:t>
      </w:r>
      <w:r w:rsidRPr="005F7836">
        <w:rPr>
          <w:rFonts w:cs="Arial"/>
          <w:lang w:val="ru-RU"/>
        </w:rPr>
        <w:t xml:space="preserve"> </w:t>
      </w:r>
      <w:r w:rsidR="002A6D07" w:rsidRPr="005F7836">
        <w:rPr>
          <w:rFonts w:cs="Arial"/>
          <w:lang w:val="ru-RU"/>
        </w:rPr>
        <w:t>участников</w:t>
      </w:r>
      <w:r w:rsidRPr="005F7836">
        <w:rPr>
          <w:rFonts w:cs="Arial"/>
          <w:lang w:val="ru-RU"/>
        </w:rPr>
        <w:t xml:space="preserve"> Движени</w:t>
      </w:r>
      <w:r w:rsidR="002A6D07" w:rsidRPr="005F7836">
        <w:rPr>
          <w:rFonts w:cs="Arial"/>
          <w:lang w:val="ru-RU"/>
        </w:rPr>
        <w:t>я. Участники Д</w:t>
      </w:r>
      <w:r w:rsidRPr="005F7836">
        <w:rPr>
          <w:rFonts w:cs="Arial"/>
          <w:lang w:val="ru-RU"/>
        </w:rPr>
        <w:t>ви</w:t>
      </w:r>
      <w:r w:rsidR="002A6D07" w:rsidRPr="005F7836">
        <w:rPr>
          <w:rFonts w:cs="Arial"/>
          <w:lang w:val="ru-RU"/>
        </w:rPr>
        <w:t>ж</w:t>
      </w:r>
      <w:r w:rsidRPr="005F7836">
        <w:rPr>
          <w:rFonts w:cs="Arial"/>
          <w:lang w:val="ru-RU"/>
        </w:rPr>
        <w:t>ения могут содействовать работе пл</w:t>
      </w:r>
      <w:r w:rsidR="002A6D07" w:rsidRPr="005F7836">
        <w:rPr>
          <w:rFonts w:cs="Arial"/>
          <w:lang w:val="ru-RU"/>
        </w:rPr>
        <w:t>ощадки или пользоваться ее подд</w:t>
      </w:r>
      <w:r w:rsidRPr="005F7836">
        <w:rPr>
          <w:rFonts w:cs="Arial"/>
          <w:lang w:val="ru-RU"/>
        </w:rPr>
        <w:t>е</w:t>
      </w:r>
      <w:r w:rsidR="002A6D07" w:rsidRPr="005F7836">
        <w:rPr>
          <w:rFonts w:cs="Arial"/>
          <w:lang w:val="ru-RU"/>
        </w:rPr>
        <w:t>ржкой. Виртуальная площадка</w:t>
      </w:r>
      <w:r w:rsidRPr="005F7836">
        <w:rPr>
          <w:rFonts w:cs="Arial"/>
          <w:lang w:val="ru-RU"/>
        </w:rPr>
        <w:t xml:space="preserve"> будет </w:t>
      </w:r>
      <w:r w:rsidR="002A6D07" w:rsidRPr="005F7836">
        <w:rPr>
          <w:rFonts w:cs="Arial"/>
          <w:lang w:val="ru-RU"/>
        </w:rPr>
        <w:t>выполнять следующие функции</w:t>
      </w:r>
      <w:r w:rsidRPr="005F7836">
        <w:rPr>
          <w:rFonts w:cs="Arial"/>
          <w:lang w:val="ru-RU"/>
        </w:rPr>
        <w:t>:</w:t>
      </w:r>
    </w:p>
    <w:p w14:paraId="1ABE8150" w14:textId="27528163" w:rsidR="001D03DC" w:rsidRPr="005F7836" w:rsidRDefault="002A6D07" w:rsidP="004B5189">
      <w:pPr>
        <w:pStyle w:val="CoDBullet"/>
        <w:rPr>
          <w:rFonts w:cs="Arial"/>
          <w:lang w:val="ru-RU"/>
        </w:rPr>
      </w:pPr>
      <w:r w:rsidRPr="005F7836">
        <w:rPr>
          <w:rFonts w:cs="Arial"/>
          <w:lang w:val="ru-RU"/>
        </w:rPr>
        <w:t>Содействовать достижению совершенства</w:t>
      </w:r>
      <w:r w:rsidR="00956EC7" w:rsidRPr="005F7836">
        <w:rPr>
          <w:rFonts w:cs="Arial"/>
          <w:lang w:val="ru-RU"/>
        </w:rPr>
        <w:t xml:space="preserve"> в области привлечения средств</w:t>
      </w:r>
      <w:r w:rsidR="001D03DC" w:rsidRPr="005F7836">
        <w:rPr>
          <w:rFonts w:cs="Arial"/>
          <w:lang w:val="ru-RU"/>
        </w:rPr>
        <w:t>;</w:t>
      </w:r>
    </w:p>
    <w:p w14:paraId="19738F44" w14:textId="7163647A" w:rsidR="001D03DC" w:rsidRPr="005F7836" w:rsidRDefault="002A6D07" w:rsidP="004B5189">
      <w:pPr>
        <w:pStyle w:val="CoDBullet"/>
        <w:rPr>
          <w:rFonts w:cs="Arial"/>
          <w:lang w:val="ru-RU"/>
        </w:rPr>
      </w:pPr>
      <w:r w:rsidRPr="005F7836">
        <w:rPr>
          <w:rFonts w:cs="Arial"/>
          <w:lang w:val="ru-RU"/>
        </w:rPr>
        <w:t>Обе</w:t>
      </w:r>
      <w:r w:rsidR="009D56FE" w:rsidRPr="005F7836">
        <w:rPr>
          <w:rFonts w:cs="Arial"/>
          <w:lang w:val="ru-RU"/>
        </w:rPr>
        <w:t>спечивать доступ к информации о рынках</w:t>
      </w:r>
      <w:r w:rsidR="002C0903" w:rsidRPr="005F7836">
        <w:rPr>
          <w:rFonts w:cs="Arial"/>
          <w:lang w:val="ru-RU"/>
        </w:rPr>
        <w:t>;</w:t>
      </w:r>
    </w:p>
    <w:p w14:paraId="014BD5D6" w14:textId="35F2D2D7" w:rsidR="001D03DC" w:rsidRPr="005F7836" w:rsidRDefault="00956EC7" w:rsidP="004B5189">
      <w:pPr>
        <w:pStyle w:val="CoDBullet"/>
        <w:rPr>
          <w:rFonts w:cs="Arial"/>
          <w:lang w:val="ru-RU"/>
        </w:rPr>
      </w:pPr>
      <w:r w:rsidRPr="005F7836">
        <w:rPr>
          <w:rFonts w:cs="Arial"/>
          <w:lang w:val="ru-RU"/>
        </w:rPr>
        <w:t xml:space="preserve">Оказывать помощь в разработке стратегий привлечения </w:t>
      </w:r>
      <w:r w:rsidR="002A6D07" w:rsidRPr="005F7836">
        <w:rPr>
          <w:rFonts w:cs="Arial"/>
          <w:lang w:val="ru-RU"/>
        </w:rPr>
        <w:t>средств</w:t>
      </w:r>
      <w:r w:rsidR="004B5189" w:rsidRPr="005F7836">
        <w:rPr>
          <w:rFonts w:cs="Arial"/>
          <w:lang w:val="ru-RU"/>
        </w:rPr>
        <w:t>;</w:t>
      </w:r>
    </w:p>
    <w:p w14:paraId="555713B6" w14:textId="3C3E6409" w:rsidR="001D03DC" w:rsidRPr="005F7836" w:rsidRDefault="00956EC7" w:rsidP="004B5189">
      <w:pPr>
        <w:pStyle w:val="CoDBullet"/>
        <w:rPr>
          <w:rFonts w:cs="Arial"/>
          <w:lang w:val="ru-RU"/>
        </w:rPr>
      </w:pPr>
      <w:r w:rsidRPr="005F7836">
        <w:rPr>
          <w:rFonts w:cs="Arial"/>
          <w:lang w:val="ru-RU"/>
        </w:rPr>
        <w:t>Служить платформой для обмена передовым опытом и организационного обучения</w:t>
      </w:r>
      <w:r w:rsidR="000C76BE" w:rsidRPr="005F7836">
        <w:rPr>
          <w:rFonts w:cs="Arial"/>
          <w:lang w:val="ru-RU"/>
        </w:rPr>
        <w:t>.</w:t>
      </w:r>
    </w:p>
    <w:p w14:paraId="20E70792" w14:textId="63C86F13" w:rsidR="00B95EA4" w:rsidRPr="005F7836" w:rsidRDefault="00B95EA4" w:rsidP="003C2484">
      <w:pPr>
        <w:pStyle w:val="CoDNormal"/>
        <w:rPr>
          <w:rFonts w:cs="Arial"/>
          <w:lang w:val="ru-RU"/>
        </w:rPr>
      </w:pPr>
      <w:r w:rsidRPr="005F7836">
        <w:rPr>
          <w:rFonts w:cs="Arial"/>
          <w:lang w:val="ru-RU"/>
        </w:rPr>
        <w:t>“Движение должно предос</w:t>
      </w:r>
      <w:r w:rsidR="00212DE6" w:rsidRPr="005F7836">
        <w:rPr>
          <w:rFonts w:cs="Arial"/>
          <w:lang w:val="ru-RU"/>
        </w:rPr>
        <w:t>тавить услугу, которая позволит получит</w:t>
      </w:r>
      <w:r w:rsidR="009D56FE" w:rsidRPr="005F7836">
        <w:rPr>
          <w:rFonts w:cs="Arial"/>
          <w:lang w:val="ru-RU"/>
        </w:rPr>
        <w:t>ь преимущества всем национальным</w:t>
      </w:r>
      <w:r w:rsidR="00212DE6" w:rsidRPr="005F7836">
        <w:rPr>
          <w:rFonts w:cs="Arial"/>
          <w:lang w:val="ru-RU"/>
        </w:rPr>
        <w:t xml:space="preserve"> обществам. Данная инициатива должна быть привлекательна для национальных обществ, чтобы они захотели вкладывать в нее </w:t>
      </w:r>
      <w:r w:rsidR="00001551" w:rsidRPr="005F7836">
        <w:rPr>
          <w:rFonts w:cs="Arial"/>
          <w:lang w:val="ru-RU"/>
        </w:rPr>
        <w:t>средства и ее поддерживать</w:t>
      </w:r>
      <w:r w:rsidR="00001551" w:rsidRPr="005F7836">
        <w:rPr>
          <w:rFonts w:cs="Arial"/>
          <w:lang w:val="en-US"/>
        </w:rPr>
        <w:t>”</w:t>
      </w:r>
      <w:r w:rsidR="00001551" w:rsidRPr="005F7836">
        <w:rPr>
          <w:rFonts w:cs="Arial"/>
          <w:lang w:val="ru-RU"/>
        </w:rPr>
        <w:t xml:space="preserve">, -- </w:t>
      </w:r>
      <w:r w:rsidRPr="005F7836">
        <w:rPr>
          <w:rFonts w:cs="Arial"/>
          <w:lang w:val="ru-RU"/>
        </w:rPr>
        <w:t xml:space="preserve">сказал </w:t>
      </w:r>
      <w:r w:rsidR="00212DE6" w:rsidRPr="005F7836">
        <w:rPr>
          <w:rFonts w:cs="Arial"/>
          <w:lang w:val="ru-RU"/>
        </w:rPr>
        <w:t>руководитель одного из национальных обществ</w:t>
      </w:r>
      <w:r w:rsidRPr="005F7836">
        <w:rPr>
          <w:rFonts w:cs="Arial"/>
          <w:lang w:val="ru-RU"/>
        </w:rPr>
        <w:t xml:space="preserve"> и член Рабочей группы.</w:t>
      </w:r>
    </w:p>
    <w:p w14:paraId="02C0878D" w14:textId="5F2B6DBC" w:rsidR="00271E2F" w:rsidRPr="005F7836" w:rsidRDefault="00B95EA4" w:rsidP="003C2484">
      <w:pPr>
        <w:pStyle w:val="CoDNormal"/>
        <w:rPr>
          <w:rFonts w:cs="Arial"/>
          <w:lang w:val="ru-RU"/>
        </w:rPr>
      </w:pPr>
      <w:r w:rsidRPr="005F7836">
        <w:rPr>
          <w:rFonts w:cs="Arial"/>
          <w:lang w:val="ru-RU"/>
        </w:rPr>
        <w:t xml:space="preserve">Изучая </w:t>
      </w:r>
      <w:r w:rsidR="008E2350" w:rsidRPr="005F7836">
        <w:rPr>
          <w:rFonts w:cs="Arial"/>
          <w:lang w:val="ru-RU"/>
        </w:rPr>
        <w:t xml:space="preserve">рентабельность инициативы по </w:t>
      </w:r>
      <w:r w:rsidR="00001551" w:rsidRPr="005F7836">
        <w:rPr>
          <w:rFonts w:cs="Arial"/>
          <w:lang w:val="ru-RU"/>
        </w:rPr>
        <w:t>созданию виртуальной площадки для</w:t>
      </w:r>
      <w:r w:rsidR="008073DB" w:rsidRPr="005F7836">
        <w:rPr>
          <w:rFonts w:cs="Arial"/>
          <w:lang w:val="ru-RU"/>
        </w:rPr>
        <w:t xml:space="preserve"> привлечения</w:t>
      </w:r>
      <w:r w:rsidRPr="005F7836">
        <w:rPr>
          <w:rFonts w:cs="Arial"/>
          <w:lang w:val="ru-RU"/>
        </w:rPr>
        <w:t xml:space="preserve"> средств,</w:t>
      </w:r>
      <w:r w:rsidR="008E2350" w:rsidRPr="005F7836">
        <w:rPr>
          <w:rFonts w:cs="Arial"/>
          <w:lang w:val="ru-RU"/>
        </w:rPr>
        <w:t xml:space="preserve"> составители опросника задали национальным обществам вопрос о том</w:t>
      </w:r>
      <w:r w:rsidRPr="005F7836">
        <w:rPr>
          <w:rFonts w:cs="Arial"/>
          <w:lang w:val="ru-RU"/>
        </w:rPr>
        <w:t xml:space="preserve">, что они находят для себя наиболее полезным в </w:t>
      </w:r>
      <w:r w:rsidR="008E2350" w:rsidRPr="005F7836">
        <w:rPr>
          <w:rFonts w:cs="Arial"/>
          <w:lang w:val="ru-RU"/>
        </w:rPr>
        <w:t>существовании такой площадки</w:t>
      </w:r>
      <w:r w:rsidRPr="005F7836">
        <w:rPr>
          <w:rFonts w:cs="Arial"/>
          <w:lang w:val="ru-RU"/>
        </w:rPr>
        <w:t>. Большинство</w:t>
      </w:r>
      <w:r w:rsidR="008E2350" w:rsidRPr="005F7836">
        <w:rPr>
          <w:rFonts w:cs="Arial"/>
          <w:lang w:val="ru-RU"/>
        </w:rPr>
        <w:t xml:space="preserve"> национальных обществ отметили </w:t>
      </w:r>
      <w:r w:rsidRPr="005F7836">
        <w:rPr>
          <w:rFonts w:cs="Arial"/>
          <w:lang w:val="ru-RU"/>
        </w:rPr>
        <w:t>“примеры передового опыта</w:t>
      </w:r>
      <w:r w:rsidR="00D3613D" w:rsidRPr="005F7836">
        <w:rPr>
          <w:rFonts w:cs="Arial"/>
          <w:lang w:val="ru-RU"/>
        </w:rPr>
        <w:t>”</w:t>
      </w:r>
      <w:r w:rsidR="001D03DC" w:rsidRPr="005F7836">
        <w:rPr>
          <w:rFonts w:cs="Arial"/>
          <w:lang w:val="ru-RU"/>
        </w:rPr>
        <w:t>, (89%</w:t>
      </w:r>
      <w:r w:rsidR="008E2350" w:rsidRPr="005F7836">
        <w:rPr>
          <w:rFonts w:cs="Arial"/>
          <w:lang w:val="ru-RU"/>
        </w:rPr>
        <w:t xml:space="preserve"> или 83 национальных обществ</w:t>
      </w:r>
      <w:r w:rsidR="001D03DC" w:rsidRPr="005F7836">
        <w:rPr>
          <w:rFonts w:cs="Arial"/>
          <w:lang w:val="ru-RU"/>
        </w:rPr>
        <w:t xml:space="preserve">), </w:t>
      </w:r>
      <w:r w:rsidRPr="005F7836">
        <w:rPr>
          <w:rFonts w:cs="Arial"/>
          <w:lang w:val="ru-RU"/>
        </w:rPr>
        <w:t xml:space="preserve">второе </w:t>
      </w:r>
      <w:r w:rsidR="008E2350" w:rsidRPr="005F7836">
        <w:rPr>
          <w:rFonts w:cs="Arial"/>
          <w:lang w:val="ru-RU"/>
        </w:rPr>
        <w:t>место</w:t>
      </w:r>
      <w:r w:rsidRPr="005F7836">
        <w:rPr>
          <w:rFonts w:cs="Arial"/>
          <w:lang w:val="ru-RU"/>
        </w:rPr>
        <w:t xml:space="preserve"> занял ответ </w:t>
      </w:r>
      <w:r w:rsidR="00D3613D" w:rsidRPr="005F7836">
        <w:rPr>
          <w:rFonts w:cs="Arial"/>
          <w:lang w:val="ru-RU"/>
        </w:rPr>
        <w:t>“</w:t>
      </w:r>
      <w:r w:rsidR="002E0E74" w:rsidRPr="005F7836">
        <w:rPr>
          <w:rFonts w:cs="Arial"/>
          <w:lang w:val="ru-RU"/>
        </w:rPr>
        <w:t>до</w:t>
      </w:r>
      <w:r w:rsidR="008E2350" w:rsidRPr="005F7836">
        <w:rPr>
          <w:rFonts w:cs="Arial"/>
          <w:lang w:val="ru-RU"/>
        </w:rPr>
        <w:t>ступ к тренингам по привлечению средств</w:t>
      </w:r>
      <w:r w:rsidR="00D3613D" w:rsidRPr="005F7836">
        <w:rPr>
          <w:rFonts w:cs="Arial"/>
          <w:lang w:val="ru-RU"/>
        </w:rPr>
        <w:t>”</w:t>
      </w:r>
      <w:r w:rsidR="00F4326B" w:rsidRPr="005F7836">
        <w:rPr>
          <w:rFonts w:cs="Arial"/>
          <w:lang w:val="ru-RU"/>
        </w:rPr>
        <w:t xml:space="preserve"> (86% </w:t>
      </w:r>
      <w:r w:rsidR="002E0E74" w:rsidRPr="005F7836">
        <w:rPr>
          <w:rFonts w:cs="Arial"/>
          <w:lang w:val="ru-RU"/>
        </w:rPr>
        <w:t>или</w:t>
      </w:r>
      <w:r w:rsidR="002E1C72" w:rsidRPr="005F7836">
        <w:rPr>
          <w:rFonts w:cs="Arial"/>
          <w:lang w:val="ru-RU"/>
        </w:rPr>
        <w:t xml:space="preserve"> </w:t>
      </w:r>
      <w:r w:rsidR="008E2350" w:rsidRPr="005F7836">
        <w:rPr>
          <w:rFonts w:cs="Arial"/>
          <w:lang w:val="ru-RU"/>
        </w:rPr>
        <w:t>80 национальных обществ</w:t>
      </w:r>
      <w:r w:rsidR="00F4326B" w:rsidRPr="005F7836">
        <w:rPr>
          <w:rFonts w:cs="Arial"/>
          <w:lang w:val="ru-RU"/>
        </w:rPr>
        <w:t>)</w:t>
      </w:r>
      <w:r w:rsidR="002E1C72" w:rsidRPr="005F7836">
        <w:rPr>
          <w:rFonts w:cs="Arial"/>
          <w:lang w:val="ru-RU"/>
        </w:rPr>
        <w:t>,</w:t>
      </w:r>
      <w:r w:rsidR="002E0E74" w:rsidRPr="005F7836">
        <w:rPr>
          <w:rFonts w:cs="Arial"/>
          <w:lang w:val="ru-RU"/>
        </w:rPr>
        <w:t xml:space="preserve"> и</w:t>
      </w:r>
      <w:r w:rsidR="00F4326B" w:rsidRPr="005F7836">
        <w:rPr>
          <w:rFonts w:cs="Arial"/>
          <w:lang w:val="ru-RU"/>
        </w:rPr>
        <w:t xml:space="preserve"> </w:t>
      </w:r>
      <w:r w:rsidR="002E1C72" w:rsidRPr="005F7836">
        <w:rPr>
          <w:rFonts w:cs="Arial"/>
          <w:lang w:val="ru-RU"/>
        </w:rPr>
        <w:t>“</w:t>
      </w:r>
      <w:r w:rsidR="002E0E74" w:rsidRPr="005F7836">
        <w:rPr>
          <w:rFonts w:cs="Arial"/>
          <w:lang w:val="ru-RU"/>
        </w:rPr>
        <w:t>инновационные идеи</w:t>
      </w:r>
      <w:r w:rsidR="002E1C72" w:rsidRPr="005F7836">
        <w:rPr>
          <w:rFonts w:cs="Arial"/>
          <w:lang w:val="ru-RU"/>
        </w:rPr>
        <w:t>”</w:t>
      </w:r>
      <w:r w:rsidR="00F4326B" w:rsidRPr="005F7836">
        <w:rPr>
          <w:rFonts w:cs="Arial"/>
          <w:lang w:val="ru-RU"/>
        </w:rPr>
        <w:t xml:space="preserve"> (83%</w:t>
      </w:r>
      <w:r w:rsidR="008E2350" w:rsidRPr="005F7836">
        <w:rPr>
          <w:rFonts w:cs="Arial"/>
          <w:lang w:val="ru-RU"/>
        </w:rPr>
        <w:t xml:space="preserve"> или 77 национальных обществ</w:t>
      </w:r>
      <w:r w:rsidR="00F4326B" w:rsidRPr="005F7836">
        <w:rPr>
          <w:rFonts w:cs="Arial"/>
          <w:lang w:val="ru-RU"/>
        </w:rPr>
        <w:t>).</w:t>
      </w:r>
    </w:p>
    <w:p w14:paraId="5AA65237" w14:textId="77777777" w:rsidR="008E2350" w:rsidRPr="005F7836" w:rsidRDefault="008E2350" w:rsidP="003C2484">
      <w:pPr>
        <w:pStyle w:val="CoDNormal"/>
        <w:rPr>
          <w:rFonts w:cs="Arial"/>
          <w:b/>
          <w:lang w:val="ru-RU"/>
        </w:rPr>
      </w:pPr>
    </w:p>
    <w:p w14:paraId="39ACFED1" w14:textId="77777777" w:rsidR="008E2350" w:rsidRPr="005F7836" w:rsidRDefault="008E2350" w:rsidP="003C2484">
      <w:pPr>
        <w:pStyle w:val="CoDNormal"/>
        <w:rPr>
          <w:rFonts w:cs="Arial"/>
          <w:b/>
          <w:lang w:val="ru-RU"/>
        </w:rPr>
      </w:pPr>
    </w:p>
    <w:p w14:paraId="3CB874EA" w14:textId="77777777" w:rsidR="008E2350" w:rsidRPr="005F7836" w:rsidRDefault="008E2350" w:rsidP="003C2484">
      <w:pPr>
        <w:pStyle w:val="CoDNormal"/>
        <w:rPr>
          <w:rFonts w:cs="Arial"/>
          <w:b/>
          <w:lang w:val="ru-RU"/>
        </w:rPr>
      </w:pPr>
    </w:p>
    <w:p w14:paraId="7FADF144" w14:textId="77777777" w:rsidR="008E2350" w:rsidRPr="005F7836" w:rsidRDefault="008E2350" w:rsidP="003C2484">
      <w:pPr>
        <w:pStyle w:val="CoDNormal"/>
        <w:rPr>
          <w:rFonts w:cs="Arial"/>
          <w:b/>
          <w:lang w:val="ru-RU"/>
        </w:rPr>
      </w:pPr>
    </w:p>
    <w:p w14:paraId="075CB93A" w14:textId="686DE2E5" w:rsidR="002E0E74" w:rsidRPr="005F7836" w:rsidRDefault="008E2350" w:rsidP="003C2484">
      <w:pPr>
        <w:pStyle w:val="CoDNormal"/>
        <w:rPr>
          <w:rFonts w:cs="Arial"/>
          <w:b/>
          <w:lang w:val="ru-RU"/>
        </w:rPr>
      </w:pPr>
      <w:r w:rsidRPr="005F7836">
        <w:rPr>
          <w:rFonts w:cs="Arial"/>
          <w:b/>
          <w:lang w:val="ru-RU"/>
        </w:rPr>
        <w:lastRenderedPageBreak/>
        <w:t>Вопрос 14. Что национальные общества</w:t>
      </w:r>
      <w:r w:rsidR="002E0E74" w:rsidRPr="005F7836">
        <w:rPr>
          <w:rFonts w:cs="Arial"/>
          <w:b/>
          <w:lang w:val="ru-RU"/>
        </w:rPr>
        <w:t xml:space="preserve"> находят для себя наиболее полезным в </w:t>
      </w:r>
      <w:r w:rsidRPr="005F7836">
        <w:rPr>
          <w:rFonts w:cs="Arial"/>
          <w:b/>
          <w:lang w:val="ru-RU"/>
        </w:rPr>
        <w:t xml:space="preserve">существовании </w:t>
      </w:r>
      <w:r w:rsidR="002E0E74" w:rsidRPr="005F7836">
        <w:rPr>
          <w:rFonts w:cs="Arial"/>
          <w:b/>
          <w:lang w:val="ru-RU"/>
        </w:rPr>
        <w:t>такой виртуальной площад</w:t>
      </w:r>
      <w:r w:rsidRPr="005F7836">
        <w:rPr>
          <w:rFonts w:cs="Arial"/>
          <w:b/>
          <w:lang w:val="ru-RU"/>
        </w:rPr>
        <w:t>ки</w:t>
      </w:r>
      <w:r w:rsidR="002E0E74" w:rsidRPr="005F7836">
        <w:rPr>
          <w:rFonts w:cs="Arial"/>
          <w:b/>
          <w:lang w:val="ru-RU"/>
        </w:rPr>
        <w:t xml:space="preserve">? Выберите применимые </w:t>
      </w:r>
      <w:r w:rsidRPr="005F7836">
        <w:rPr>
          <w:rFonts w:cs="Arial"/>
          <w:b/>
          <w:lang w:val="ru-RU"/>
        </w:rPr>
        <w:t>варианты ответов</w:t>
      </w:r>
    </w:p>
    <w:p w14:paraId="00969507" w14:textId="77777777" w:rsidR="00F4326B" w:rsidRPr="005F7836" w:rsidRDefault="00F4326B" w:rsidP="00BD5A7E">
      <w:pPr>
        <w:pStyle w:val="CoDNormal"/>
        <w:rPr>
          <w:rFonts w:cs="Arial"/>
          <w:lang w:val="ru-RU"/>
        </w:rPr>
      </w:pPr>
      <w:r w:rsidRPr="005F7836">
        <w:rPr>
          <w:rFonts w:cs="Arial"/>
          <w:noProof/>
          <w:lang w:val="ru-RU" w:eastAsia="ru-RU"/>
        </w:rPr>
        <w:drawing>
          <wp:inline distT="0" distB="0" distL="0" distR="0" wp14:anchorId="36C3B46F" wp14:editId="60C9E80E">
            <wp:extent cx="5105400" cy="248819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9101" cy="2509489"/>
                    </a:xfrm>
                    <a:prstGeom prst="rect">
                      <a:avLst/>
                    </a:prstGeom>
                    <a:noFill/>
                    <a:ln>
                      <a:noFill/>
                    </a:ln>
                  </pic:spPr>
                </pic:pic>
              </a:graphicData>
            </a:graphic>
          </wp:inline>
        </w:drawing>
      </w:r>
    </w:p>
    <w:p w14:paraId="133FA06B" w14:textId="2DFF800B" w:rsidR="002C0903" w:rsidRPr="005F7836" w:rsidRDefault="002E0E74" w:rsidP="004B5189">
      <w:pPr>
        <w:pStyle w:val="CoDNormal"/>
        <w:rPr>
          <w:rFonts w:cs="Arial"/>
          <w:lang w:val="ru-RU"/>
        </w:rPr>
      </w:pPr>
      <w:r w:rsidRPr="005F7836">
        <w:rPr>
          <w:rFonts w:cs="Arial"/>
          <w:lang w:val="ru-RU"/>
        </w:rPr>
        <w:t>Национальным обществам также задавался вопрос о том, какой вклад они хотели бы внести в соз</w:t>
      </w:r>
      <w:r w:rsidR="008E2350" w:rsidRPr="005F7836">
        <w:rPr>
          <w:rFonts w:cs="Arial"/>
          <w:lang w:val="ru-RU"/>
        </w:rPr>
        <w:t>дание виртуальной</w:t>
      </w:r>
      <w:r w:rsidRPr="005F7836">
        <w:rPr>
          <w:rFonts w:cs="Arial"/>
          <w:lang w:val="ru-RU"/>
        </w:rPr>
        <w:t xml:space="preserve"> площадки</w:t>
      </w:r>
      <w:r w:rsidR="00001551" w:rsidRPr="005F7836">
        <w:rPr>
          <w:rFonts w:cs="Arial"/>
          <w:lang w:val="ru-RU"/>
        </w:rPr>
        <w:t xml:space="preserve"> для привлечения</w:t>
      </w:r>
      <w:r w:rsidR="008E2350" w:rsidRPr="005F7836">
        <w:rPr>
          <w:rFonts w:cs="Arial"/>
          <w:lang w:val="ru-RU"/>
        </w:rPr>
        <w:t xml:space="preserve"> средств</w:t>
      </w:r>
      <w:r w:rsidRPr="005F7836">
        <w:rPr>
          <w:rFonts w:cs="Arial"/>
          <w:lang w:val="ru-RU"/>
        </w:rPr>
        <w:t>. Большинство от</w:t>
      </w:r>
      <w:r w:rsidR="008E2350" w:rsidRPr="005F7836">
        <w:rPr>
          <w:rFonts w:cs="Arial"/>
          <w:lang w:val="ru-RU"/>
        </w:rPr>
        <w:t>ветили, что готовы уделить данному проекту рабочее время своих сотрудников</w:t>
      </w:r>
      <w:r w:rsidRPr="005F7836">
        <w:rPr>
          <w:rFonts w:cs="Arial"/>
          <w:lang w:val="ru-RU"/>
        </w:rPr>
        <w:t xml:space="preserve"> </w:t>
      </w:r>
      <w:r w:rsidR="00F4326B" w:rsidRPr="005F7836">
        <w:rPr>
          <w:rFonts w:cs="Arial"/>
          <w:lang w:val="ru-RU"/>
        </w:rPr>
        <w:t xml:space="preserve">(69% </w:t>
      </w:r>
      <w:r w:rsidR="008E2350" w:rsidRPr="005F7836">
        <w:rPr>
          <w:rFonts w:cs="Arial"/>
          <w:lang w:val="ru-RU"/>
        </w:rPr>
        <w:t>или 64 национальных общества</w:t>
      </w:r>
      <w:r w:rsidR="00F4326B" w:rsidRPr="005F7836">
        <w:rPr>
          <w:rFonts w:cs="Arial"/>
          <w:lang w:val="ru-RU"/>
        </w:rPr>
        <w:t xml:space="preserve">), </w:t>
      </w:r>
      <w:r w:rsidRPr="005F7836">
        <w:rPr>
          <w:rFonts w:cs="Arial"/>
          <w:lang w:val="ru-RU"/>
        </w:rPr>
        <w:t xml:space="preserve">следующим </w:t>
      </w:r>
      <w:r w:rsidR="008E2350" w:rsidRPr="005F7836">
        <w:rPr>
          <w:rFonts w:cs="Arial"/>
          <w:lang w:val="ru-RU"/>
        </w:rPr>
        <w:t xml:space="preserve">по популярности </w:t>
      </w:r>
      <w:r w:rsidRPr="005F7836">
        <w:rPr>
          <w:rFonts w:cs="Arial"/>
          <w:lang w:val="ru-RU"/>
        </w:rPr>
        <w:t>был ответ “</w:t>
      </w:r>
      <w:r w:rsidR="008E2350" w:rsidRPr="005F7836">
        <w:rPr>
          <w:rFonts w:cs="Arial"/>
          <w:lang w:val="ru-RU"/>
        </w:rPr>
        <w:t>готовы предоставить техническую поддержку</w:t>
      </w:r>
      <w:r w:rsidRPr="005F7836">
        <w:rPr>
          <w:rFonts w:cs="Arial"/>
          <w:lang w:val="ru-RU"/>
        </w:rPr>
        <w:t>”</w:t>
      </w:r>
      <w:r w:rsidR="00F4326B" w:rsidRPr="005F7836">
        <w:rPr>
          <w:rFonts w:cs="Arial"/>
          <w:lang w:val="ru-RU"/>
        </w:rPr>
        <w:t xml:space="preserve"> (38%</w:t>
      </w:r>
      <w:r w:rsidR="008E2350" w:rsidRPr="005F7836">
        <w:rPr>
          <w:rFonts w:cs="Arial"/>
          <w:lang w:val="ru-RU"/>
        </w:rPr>
        <w:t xml:space="preserve"> или 35 национальных обществ</w:t>
      </w:r>
      <w:r w:rsidR="00F4326B" w:rsidRPr="005F7836">
        <w:rPr>
          <w:rFonts w:cs="Arial"/>
          <w:lang w:val="ru-RU"/>
        </w:rPr>
        <w:t xml:space="preserve">). </w:t>
      </w:r>
      <w:r w:rsidRPr="005F7836">
        <w:rPr>
          <w:rFonts w:cs="Arial"/>
          <w:lang w:val="ru-RU"/>
        </w:rPr>
        <w:t>Меньшинство</w:t>
      </w:r>
      <w:r w:rsidR="00F4326B" w:rsidRPr="005F7836">
        <w:rPr>
          <w:rFonts w:cs="Arial"/>
          <w:lang w:val="ru-RU"/>
        </w:rPr>
        <w:t xml:space="preserve"> (18% </w:t>
      </w:r>
      <w:r w:rsidR="008E2350" w:rsidRPr="005F7836">
        <w:rPr>
          <w:rFonts w:cs="Arial"/>
          <w:lang w:val="ru-RU"/>
        </w:rPr>
        <w:t>или 17 национальных обществ</w:t>
      </w:r>
      <w:r w:rsidR="00F4326B" w:rsidRPr="005F7836">
        <w:rPr>
          <w:rFonts w:cs="Arial"/>
          <w:lang w:val="ru-RU"/>
        </w:rPr>
        <w:t xml:space="preserve">) </w:t>
      </w:r>
      <w:r w:rsidR="008E2350" w:rsidRPr="005F7836">
        <w:rPr>
          <w:rFonts w:cs="Arial"/>
          <w:lang w:val="ru-RU"/>
        </w:rPr>
        <w:t xml:space="preserve">сказали, что </w:t>
      </w:r>
      <w:r w:rsidRPr="005F7836">
        <w:rPr>
          <w:rFonts w:cs="Arial"/>
          <w:lang w:val="ru-RU"/>
        </w:rPr>
        <w:t xml:space="preserve"> предпочли </w:t>
      </w:r>
      <w:r w:rsidR="008E2350" w:rsidRPr="005F7836">
        <w:rPr>
          <w:rFonts w:cs="Arial"/>
          <w:lang w:val="ru-RU"/>
        </w:rPr>
        <w:t xml:space="preserve">бы </w:t>
      </w:r>
      <w:r w:rsidRPr="005F7836">
        <w:rPr>
          <w:rFonts w:cs="Arial"/>
          <w:lang w:val="ru-RU"/>
        </w:rPr>
        <w:t>предоставить финансирование.</w:t>
      </w:r>
    </w:p>
    <w:p w14:paraId="629D4C4A" w14:textId="7DE56C17" w:rsidR="002E0E74" w:rsidRPr="005F7836" w:rsidRDefault="008E2350" w:rsidP="004B5189">
      <w:pPr>
        <w:pStyle w:val="CoDNormal"/>
        <w:rPr>
          <w:rFonts w:cs="Arial"/>
          <w:lang w:val="ru-RU"/>
        </w:rPr>
      </w:pPr>
      <w:r w:rsidRPr="005F7836">
        <w:rPr>
          <w:rFonts w:cs="Arial"/>
          <w:b/>
          <w:lang w:val="ru-RU"/>
        </w:rPr>
        <w:t>Вопрос 15: Какой вклад ваше национальное общество</w:t>
      </w:r>
      <w:r w:rsidR="002E0E74" w:rsidRPr="005F7836">
        <w:rPr>
          <w:rFonts w:cs="Arial"/>
          <w:b/>
          <w:lang w:val="ru-RU"/>
        </w:rPr>
        <w:t xml:space="preserve"> хотело бы внести в создание </w:t>
      </w:r>
      <w:r w:rsidRPr="005F7836">
        <w:rPr>
          <w:rFonts w:cs="Arial"/>
          <w:b/>
          <w:lang w:val="ru-RU"/>
        </w:rPr>
        <w:t xml:space="preserve">глобальной </w:t>
      </w:r>
      <w:r w:rsidR="002E0E74" w:rsidRPr="005F7836">
        <w:rPr>
          <w:rFonts w:cs="Arial"/>
          <w:b/>
          <w:lang w:val="ru-RU"/>
        </w:rPr>
        <w:t>площадки</w:t>
      </w:r>
      <w:r w:rsidR="00001551" w:rsidRPr="005F7836">
        <w:rPr>
          <w:rFonts w:cs="Arial"/>
          <w:b/>
          <w:lang w:val="ru-RU"/>
        </w:rPr>
        <w:t xml:space="preserve"> для</w:t>
      </w:r>
      <w:r w:rsidRPr="005F7836">
        <w:rPr>
          <w:rFonts w:cs="Arial"/>
          <w:b/>
          <w:lang w:val="ru-RU"/>
        </w:rPr>
        <w:t xml:space="preserve"> при</w:t>
      </w:r>
      <w:r w:rsidR="00001551" w:rsidRPr="005F7836">
        <w:rPr>
          <w:rFonts w:cs="Arial"/>
          <w:b/>
          <w:lang w:val="ru-RU"/>
        </w:rPr>
        <w:t>влечения</w:t>
      </w:r>
      <w:r w:rsidRPr="005F7836">
        <w:rPr>
          <w:rFonts w:cs="Arial"/>
          <w:b/>
          <w:lang w:val="ru-RU"/>
        </w:rPr>
        <w:t xml:space="preserve"> средств</w:t>
      </w:r>
      <w:r w:rsidR="002E0E74" w:rsidRPr="005F7836">
        <w:rPr>
          <w:rFonts w:cs="Arial"/>
          <w:b/>
          <w:lang w:val="ru-RU"/>
        </w:rPr>
        <w:t>? Выберите применимые варианты ответов</w:t>
      </w:r>
      <w:r w:rsidR="002E0E74" w:rsidRPr="005F7836">
        <w:rPr>
          <w:rFonts w:cs="Arial"/>
          <w:lang w:val="ru-RU"/>
        </w:rPr>
        <w:t>.</w:t>
      </w:r>
    </w:p>
    <w:p w14:paraId="24283541" w14:textId="16BE208F" w:rsidR="00941AB9" w:rsidRPr="005F7836" w:rsidRDefault="001D03DC" w:rsidP="002E0E74">
      <w:pPr>
        <w:pStyle w:val="CoDNormal"/>
        <w:rPr>
          <w:rFonts w:cs="Arial"/>
          <w:lang w:val="ru-RU"/>
        </w:rPr>
      </w:pPr>
      <w:r w:rsidRPr="005F7836">
        <w:rPr>
          <w:rFonts w:cs="Arial"/>
          <w:noProof/>
          <w:lang w:val="ru-RU" w:eastAsia="ru-RU"/>
        </w:rPr>
        <w:drawing>
          <wp:inline distT="0" distB="0" distL="0" distR="0" wp14:anchorId="1DFC9CF7" wp14:editId="524C38F7">
            <wp:extent cx="4858603" cy="192063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8603" cy="1920639"/>
                    </a:xfrm>
                    <a:prstGeom prst="rect">
                      <a:avLst/>
                    </a:prstGeom>
                    <a:noFill/>
                    <a:ln>
                      <a:noFill/>
                    </a:ln>
                  </pic:spPr>
                </pic:pic>
              </a:graphicData>
            </a:graphic>
          </wp:inline>
        </w:drawing>
      </w:r>
    </w:p>
    <w:p w14:paraId="16F3C2A0" w14:textId="207E4234" w:rsidR="002E0E74" w:rsidRPr="005F7836" w:rsidRDefault="002E0E74" w:rsidP="002E0E74">
      <w:pPr>
        <w:pStyle w:val="CoDNormal"/>
        <w:rPr>
          <w:rFonts w:cs="Arial"/>
          <w:b/>
          <w:lang w:val="ru-RU"/>
        </w:rPr>
      </w:pPr>
      <w:r w:rsidRPr="005F7836">
        <w:rPr>
          <w:rFonts w:cs="Arial"/>
          <w:b/>
          <w:lang w:val="ru-RU"/>
        </w:rPr>
        <w:t>Сбор и анализ данных</w:t>
      </w:r>
    </w:p>
    <w:p w14:paraId="7439ADB4" w14:textId="561D662B" w:rsidR="002E0E74" w:rsidRPr="005F7836" w:rsidRDefault="002E0E74" w:rsidP="00BD5A7E">
      <w:pPr>
        <w:pStyle w:val="CoDNormal"/>
        <w:rPr>
          <w:rFonts w:cs="Arial"/>
          <w:lang w:val="ru-RU"/>
        </w:rPr>
      </w:pPr>
      <w:r w:rsidRPr="005F7836">
        <w:rPr>
          <w:rFonts w:cs="Arial"/>
          <w:lang w:val="ru-RU"/>
        </w:rPr>
        <w:t xml:space="preserve">В рамках Международного форума по </w:t>
      </w:r>
      <w:r w:rsidR="008E2350" w:rsidRPr="005F7836">
        <w:rPr>
          <w:rFonts w:cs="Arial"/>
          <w:lang w:val="ru-RU"/>
        </w:rPr>
        <w:t>обеспечению</w:t>
      </w:r>
      <w:r w:rsidRPr="005F7836">
        <w:rPr>
          <w:rFonts w:cs="Arial"/>
          <w:lang w:val="ru-RU"/>
        </w:rPr>
        <w:t xml:space="preserve"> лидерства в области привлечения средств, Движение участвует в глобальном сравнительном анализе, называемом </w:t>
      </w:r>
      <w:r w:rsidR="008E2350" w:rsidRPr="005F7836">
        <w:rPr>
          <w:rFonts w:cs="Arial"/>
          <w:lang w:val="ru-RU"/>
        </w:rPr>
        <w:t>партнерской</w:t>
      </w:r>
      <w:r w:rsidRPr="005F7836">
        <w:rPr>
          <w:rFonts w:cs="Arial"/>
          <w:lang w:val="ru-RU"/>
        </w:rPr>
        <w:t xml:space="preserve"> проверкой</w:t>
      </w:r>
      <w:r w:rsidR="004864C0" w:rsidRPr="005F7836">
        <w:rPr>
          <w:rFonts w:cs="Arial"/>
          <w:lang w:val="ru-RU"/>
        </w:rPr>
        <w:t>.</w:t>
      </w:r>
      <w:r w:rsidR="00563924" w:rsidRPr="005F7836">
        <w:rPr>
          <w:rStyle w:val="af4"/>
          <w:rFonts w:cs="Arial"/>
          <w:iCs/>
          <w:lang w:val="ru-RU"/>
        </w:rPr>
        <w:footnoteReference w:id="4"/>
      </w:r>
      <w:r w:rsidR="00E61979" w:rsidRPr="005F7836">
        <w:rPr>
          <w:rFonts w:cs="Arial"/>
          <w:lang w:val="ru-RU"/>
        </w:rPr>
        <w:t xml:space="preserve"> </w:t>
      </w:r>
      <w:r w:rsidRPr="005F7836">
        <w:rPr>
          <w:rFonts w:cs="Arial"/>
          <w:lang w:val="ru-RU"/>
        </w:rPr>
        <w:t>В целях партнерской проверки производится ежегодный сбор</w:t>
      </w:r>
      <w:r w:rsidR="008E2350" w:rsidRPr="005F7836">
        <w:rPr>
          <w:rFonts w:cs="Arial"/>
          <w:lang w:val="ru-RU"/>
        </w:rPr>
        <w:t xml:space="preserve"> </w:t>
      </w:r>
      <w:r w:rsidR="008E2350" w:rsidRPr="005F7836">
        <w:rPr>
          <w:rFonts w:cs="Arial"/>
          <w:lang w:val="ru-RU"/>
        </w:rPr>
        <w:lastRenderedPageBreak/>
        <w:t>и анализ данных от МККК, МФОККиКП и национальных обществ</w:t>
      </w:r>
      <w:r w:rsidRPr="005F7836">
        <w:rPr>
          <w:rFonts w:cs="Arial"/>
          <w:lang w:val="ru-RU"/>
        </w:rPr>
        <w:t xml:space="preserve"> (в</w:t>
      </w:r>
      <w:r w:rsidR="008E2350" w:rsidRPr="005F7836">
        <w:rPr>
          <w:rFonts w:cs="Arial"/>
          <w:lang w:val="ru-RU"/>
        </w:rPr>
        <w:t xml:space="preserve"> настоящее время участвуют 16 национальных обществ</w:t>
      </w:r>
      <w:r w:rsidRPr="005F7836">
        <w:rPr>
          <w:rFonts w:cs="Arial"/>
          <w:lang w:val="ru-RU"/>
        </w:rPr>
        <w:t xml:space="preserve">). В то время как </w:t>
      </w:r>
      <w:r w:rsidR="008E2350" w:rsidRPr="005F7836">
        <w:rPr>
          <w:rFonts w:cs="Arial"/>
          <w:lang w:val="ru-RU"/>
        </w:rPr>
        <w:t xml:space="preserve">получаемые </w:t>
      </w:r>
      <w:r w:rsidR="00D55909" w:rsidRPr="005F7836">
        <w:rPr>
          <w:rFonts w:cs="Arial"/>
          <w:lang w:val="ru-RU"/>
        </w:rPr>
        <w:t>данные могут отличаться недостаточной репрезентативностью для оценки общего потенциала Движения в области</w:t>
      </w:r>
      <w:r w:rsidRPr="005F7836">
        <w:rPr>
          <w:rFonts w:cs="Arial"/>
          <w:lang w:val="ru-RU"/>
        </w:rPr>
        <w:t xml:space="preserve"> </w:t>
      </w:r>
      <w:r w:rsidR="00D55909" w:rsidRPr="005F7836">
        <w:rPr>
          <w:rFonts w:cs="Arial"/>
          <w:lang w:val="ru-RU"/>
        </w:rPr>
        <w:t>мобилизации</w:t>
      </w:r>
      <w:r w:rsidR="009E73AA" w:rsidRPr="005F7836">
        <w:rPr>
          <w:rFonts w:cs="Arial"/>
          <w:lang w:val="ru-RU"/>
        </w:rPr>
        <w:t xml:space="preserve"> ресурсов</w:t>
      </w:r>
      <w:r w:rsidRPr="005F7836">
        <w:rPr>
          <w:rFonts w:cs="Arial"/>
          <w:lang w:val="ru-RU"/>
        </w:rPr>
        <w:t xml:space="preserve">, ограниченный анализ </w:t>
      </w:r>
      <w:r w:rsidR="009E73AA" w:rsidRPr="005F7836">
        <w:rPr>
          <w:rFonts w:cs="Arial"/>
          <w:lang w:val="ru-RU"/>
        </w:rPr>
        <w:t>поз</w:t>
      </w:r>
      <w:r w:rsidR="001152F3" w:rsidRPr="005F7836">
        <w:rPr>
          <w:rFonts w:cs="Arial"/>
          <w:lang w:val="ru-RU"/>
        </w:rPr>
        <w:t>воляет выявить несколько наиболее очевидных</w:t>
      </w:r>
      <w:r w:rsidR="009E73AA" w:rsidRPr="005F7836">
        <w:rPr>
          <w:rFonts w:cs="Arial"/>
          <w:lang w:val="ru-RU"/>
        </w:rPr>
        <w:t xml:space="preserve"> проблем</w:t>
      </w:r>
      <w:r w:rsidRPr="005F7836">
        <w:rPr>
          <w:rFonts w:cs="Arial"/>
          <w:lang w:val="ru-RU"/>
        </w:rPr>
        <w:t xml:space="preserve"> и тен</w:t>
      </w:r>
      <w:r w:rsidR="009E73AA" w:rsidRPr="005F7836">
        <w:rPr>
          <w:rFonts w:cs="Arial"/>
          <w:lang w:val="ru-RU"/>
        </w:rPr>
        <w:t>де</w:t>
      </w:r>
      <w:r w:rsidRPr="005F7836">
        <w:rPr>
          <w:rFonts w:cs="Arial"/>
          <w:lang w:val="ru-RU"/>
        </w:rPr>
        <w:t xml:space="preserve">нций в области привлечения средств на основании данных, </w:t>
      </w:r>
      <w:r w:rsidR="001152F3" w:rsidRPr="005F7836">
        <w:rPr>
          <w:rFonts w:cs="Arial"/>
          <w:lang w:val="ru-RU"/>
        </w:rPr>
        <w:t>полученных</w:t>
      </w:r>
      <w:r w:rsidRPr="005F7836">
        <w:rPr>
          <w:rFonts w:cs="Arial"/>
          <w:lang w:val="ru-RU"/>
        </w:rPr>
        <w:t xml:space="preserve"> от других участников: </w:t>
      </w:r>
    </w:p>
    <w:p w14:paraId="006E0E28" w14:textId="2F28904B" w:rsidR="00E61979" w:rsidRPr="005F7836" w:rsidRDefault="002E0E74" w:rsidP="00BD5A7E">
      <w:pPr>
        <w:pStyle w:val="CoDBullet"/>
        <w:rPr>
          <w:rFonts w:cs="Arial"/>
          <w:lang w:val="ru-RU"/>
        </w:rPr>
      </w:pPr>
      <w:r w:rsidRPr="005F7836">
        <w:rPr>
          <w:rFonts w:cs="Arial"/>
          <w:lang w:val="ru-RU"/>
        </w:rPr>
        <w:t xml:space="preserve">Движение </w:t>
      </w:r>
      <w:r w:rsidR="001152F3" w:rsidRPr="005F7836">
        <w:rPr>
          <w:rFonts w:cs="Arial"/>
          <w:lang w:val="ru-RU"/>
        </w:rPr>
        <w:t xml:space="preserve">не может </w:t>
      </w:r>
      <w:r w:rsidRPr="005F7836">
        <w:rPr>
          <w:rFonts w:cs="Arial"/>
          <w:lang w:val="ru-RU"/>
        </w:rPr>
        <w:t xml:space="preserve">в полной мере </w:t>
      </w:r>
      <w:r w:rsidR="001152F3" w:rsidRPr="005F7836">
        <w:rPr>
          <w:rFonts w:cs="Arial"/>
          <w:lang w:val="ru-RU"/>
        </w:rPr>
        <w:t xml:space="preserve">оценить </w:t>
      </w:r>
      <w:r w:rsidRPr="005F7836">
        <w:rPr>
          <w:rFonts w:cs="Arial"/>
          <w:lang w:val="ru-RU"/>
        </w:rPr>
        <w:t xml:space="preserve">свое текущее </w:t>
      </w:r>
      <w:r w:rsidR="001152F3" w:rsidRPr="005F7836">
        <w:rPr>
          <w:rFonts w:cs="Arial"/>
          <w:lang w:val="ru-RU"/>
        </w:rPr>
        <w:t>положение</w:t>
      </w:r>
      <w:r w:rsidRPr="005F7836">
        <w:rPr>
          <w:rFonts w:cs="Arial"/>
          <w:lang w:val="ru-RU"/>
        </w:rPr>
        <w:t xml:space="preserve"> в сфере привлечения средств из-за </w:t>
      </w:r>
      <w:r w:rsidR="001152F3" w:rsidRPr="005F7836">
        <w:rPr>
          <w:rFonts w:cs="Arial"/>
          <w:lang w:val="ru-RU"/>
        </w:rPr>
        <w:t>нехватки</w:t>
      </w:r>
      <w:r w:rsidRPr="005F7836">
        <w:rPr>
          <w:rFonts w:cs="Arial"/>
          <w:lang w:val="ru-RU"/>
        </w:rPr>
        <w:t xml:space="preserve"> данных</w:t>
      </w:r>
      <w:r w:rsidR="000A6B77" w:rsidRPr="005F7836">
        <w:rPr>
          <w:rFonts w:cs="Arial"/>
          <w:lang w:val="ru-RU"/>
        </w:rPr>
        <w:t>.</w:t>
      </w:r>
    </w:p>
    <w:p w14:paraId="1921BD85" w14:textId="1D991924" w:rsidR="00E61979" w:rsidRPr="005F7836" w:rsidRDefault="00194E9F" w:rsidP="00BD5A7E">
      <w:pPr>
        <w:pStyle w:val="CoDBullet"/>
        <w:rPr>
          <w:rFonts w:cs="Arial"/>
          <w:lang w:val="ru-RU"/>
        </w:rPr>
      </w:pPr>
      <w:r w:rsidRPr="005F7836">
        <w:rPr>
          <w:rFonts w:cs="Arial"/>
          <w:lang w:val="ru-RU"/>
        </w:rPr>
        <w:t xml:space="preserve">Прирост показателей по привлечению средств в масштабах </w:t>
      </w:r>
      <w:r w:rsidR="001152F3" w:rsidRPr="005F7836">
        <w:rPr>
          <w:rFonts w:cs="Arial"/>
          <w:lang w:val="ru-RU"/>
        </w:rPr>
        <w:t>Движения</w:t>
      </w:r>
      <w:r w:rsidRPr="005F7836">
        <w:rPr>
          <w:rFonts w:cs="Arial"/>
          <w:lang w:val="ru-RU"/>
        </w:rPr>
        <w:t xml:space="preserve"> почти не меняется</w:t>
      </w:r>
      <w:r w:rsidR="00AB5C78" w:rsidRPr="005F7836">
        <w:rPr>
          <w:rFonts w:cs="Arial"/>
          <w:lang w:val="ru-RU"/>
        </w:rPr>
        <w:t xml:space="preserve">: </w:t>
      </w:r>
      <w:r w:rsidRPr="005F7836">
        <w:rPr>
          <w:rFonts w:cs="Arial"/>
          <w:lang w:val="ru-RU"/>
        </w:rPr>
        <w:t>совокупный ежегодный прирост между 2011 и 2015 годами</w:t>
      </w:r>
      <w:r w:rsidR="001152F3" w:rsidRPr="005F7836">
        <w:rPr>
          <w:rFonts w:cs="Arial"/>
          <w:lang w:val="ru-RU"/>
        </w:rPr>
        <w:t xml:space="preserve"> оценивается на уровне +2%</w:t>
      </w:r>
      <w:r w:rsidRPr="005F7836">
        <w:rPr>
          <w:rFonts w:cs="Arial"/>
          <w:lang w:val="ru-RU"/>
        </w:rPr>
        <w:t>.</w:t>
      </w:r>
      <w:r w:rsidR="00E61979" w:rsidRPr="005F7836">
        <w:rPr>
          <w:rFonts w:cs="Arial"/>
          <w:lang w:val="ru-RU"/>
        </w:rPr>
        <w:t xml:space="preserve"> </w:t>
      </w:r>
    </w:p>
    <w:p w14:paraId="3E705881" w14:textId="3DDFF6C5" w:rsidR="00E61979" w:rsidRPr="005F7836" w:rsidRDefault="00194E9F" w:rsidP="00BD5A7E">
      <w:pPr>
        <w:pStyle w:val="CoDBullet"/>
        <w:rPr>
          <w:rFonts w:cs="Arial"/>
          <w:lang w:val="ru-RU"/>
        </w:rPr>
      </w:pPr>
      <w:r w:rsidRPr="005F7836">
        <w:rPr>
          <w:rFonts w:cs="Arial"/>
          <w:lang w:val="ru-RU"/>
        </w:rPr>
        <w:t xml:space="preserve">Движение теряет </w:t>
      </w:r>
      <w:r w:rsidR="001152F3" w:rsidRPr="005F7836">
        <w:rPr>
          <w:rFonts w:cs="Arial"/>
          <w:lang w:val="ru-RU"/>
        </w:rPr>
        <w:t xml:space="preserve">свою </w:t>
      </w:r>
      <w:r w:rsidRPr="005F7836">
        <w:rPr>
          <w:rFonts w:cs="Arial"/>
          <w:lang w:val="ru-RU"/>
        </w:rPr>
        <w:t>долю рынка, с 22% в</w:t>
      </w:r>
      <w:r w:rsidR="00E61979" w:rsidRPr="005F7836">
        <w:rPr>
          <w:rFonts w:cs="Arial"/>
          <w:lang w:val="ru-RU"/>
        </w:rPr>
        <w:t xml:space="preserve"> 2011</w:t>
      </w:r>
      <w:r w:rsidRPr="005F7836">
        <w:rPr>
          <w:rFonts w:cs="Arial"/>
          <w:lang w:val="ru-RU"/>
        </w:rPr>
        <w:t xml:space="preserve"> году до 18% в</w:t>
      </w:r>
      <w:r w:rsidR="00E61979" w:rsidRPr="005F7836">
        <w:rPr>
          <w:rFonts w:cs="Arial"/>
          <w:lang w:val="ru-RU"/>
        </w:rPr>
        <w:t xml:space="preserve"> 2015</w:t>
      </w:r>
      <w:r w:rsidRPr="005F7836">
        <w:rPr>
          <w:rFonts w:cs="Arial"/>
          <w:lang w:val="ru-RU"/>
        </w:rPr>
        <w:t xml:space="preserve"> году</w:t>
      </w:r>
      <w:r w:rsidR="000A6B77" w:rsidRPr="005F7836">
        <w:rPr>
          <w:rFonts w:cs="Arial"/>
          <w:lang w:val="ru-RU"/>
        </w:rPr>
        <w:t>,</w:t>
      </w:r>
      <w:r w:rsidR="00AB5C78" w:rsidRPr="005F7836">
        <w:rPr>
          <w:rFonts w:cs="Arial"/>
          <w:lang w:val="ru-RU"/>
        </w:rPr>
        <w:t xml:space="preserve"> </w:t>
      </w:r>
      <w:r w:rsidRPr="005F7836">
        <w:rPr>
          <w:rFonts w:cs="Arial"/>
          <w:lang w:val="ru-RU"/>
        </w:rPr>
        <w:t>в то время как другие участники</w:t>
      </w:r>
      <w:r w:rsidR="001152F3" w:rsidRPr="005F7836">
        <w:rPr>
          <w:rFonts w:cs="Arial"/>
          <w:lang w:val="ru-RU"/>
        </w:rPr>
        <w:t xml:space="preserve"> гуманитарной деятельности наращивают свою</w:t>
      </w:r>
      <w:r w:rsidRPr="005F7836">
        <w:rPr>
          <w:rFonts w:cs="Arial"/>
          <w:lang w:val="ru-RU"/>
        </w:rPr>
        <w:t xml:space="preserve"> за счет </w:t>
      </w:r>
      <w:r w:rsidR="001152F3" w:rsidRPr="005F7836">
        <w:rPr>
          <w:rFonts w:cs="Arial"/>
          <w:lang w:val="ru-RU"/>
        </w:rPr>
        <w:t>участников Движения</w:t>
      </w:r>
      <w:r w:rsidR="005F50B9" w:rsidRPr="005F7836">
        <w:rPr>
          <w:rFonts w:cs="Arial"/>
          <w:lang w:val="ru-RU"/>
        </w:rPr>
        <w:t>.</w:t>
      </w:r>
    </w:p>
    <w:p w14:paraId="34315884" w14:textId="17DD7AC3" w:rsidR="00194E9F" w:rsidRPr="005F7836" w:rsidRDefault="001152F3" w:rsidP="00BD5A7E">
      <w:pPr>
        <w:pStyle w:val="CoDNormal"/>
        <w:rPr>
          <w:rFonts w:cs="Arial"/>
          <w:lang w:val="ru-RU"/>
        </w:rPr>
      </w:pPr>
      <w:r w:rsidRPr="005F7836">
        <w:rPr>
          <w:rFonts w:cs="Arial"/>
          <w:lang w:val="ru-RU"/>
        </w:rPr>
        <w:t>В рамках опроса национальным обществам</w:t>
      </w:r>
      <w:r w:rsidR="00194E9F" w:rsidRPr="005F7836">
        <w:rPr>
          <w:rFonts w:cs="Arial"/>
          <w:lang w:val="ru-RU"/>
        </w:rPr>
        <w:t xml:space="preserve"> задавался вопрос, проводят ли они систематический сбор и анализ данных об </w:t>
      </w:r>
      <w:r w:rsidRPr="005F7836">
        <w:rPr>
          <w:rFonts w:cs="Arial"/>
          <w:lang w:val="ru-RU"/>
        </w:rPr>
        <w:t>эффективности</w:t>
      </w:r>
      <w:r w:rsidR="00194E9F" w:rsidRPr="005F7836">
        <w:rPr>
          <w:rFonts w:cs="Arial"/>
          <w:lang w:val="ru-RU"/>
        </w:rPr>
        <w:t xml:space="preserve"> привлечения </w:t>
      </w:r>
      <w:r w:rsidRPr="005F7836">
        <w:rPr>
          <w:rFonts w:cs="Arial"/>
          <w:lang w:val="ru-RU"/>
        </w:rPr>
        <w:t>средств в целях изучения</w:t>
      </w:r>
      <w:r w:rsidR="00194E9F" w:rsidRPr="005F7836">
        <w:rPr>
          <w:rFonts w:cs="Arial"/>
          <w:lang w:val="ru-RU"/>
        </w:rPr>
        <w:t xml:space="preserve"> потенциала роста и/или влияния на инвестиционные р</w:t>
      </w:r>
      <w:r w:rsidRPr="005F7836">
        <w:rPr>
          <w:rFonts w:cs="Arial"/>
          <w:lang w:val="ru-RU"/>
        </w:rPr>
        <w:t>ешения. Из 93 респондентов 53 национальных обществ ответили, что ведут такую работу, предложив Движению увеличить число уча</w:t>
      </w:r>
      <w:r w:rsidR="00194E9F" w:rsidRPr="005F7836">
        <w:rPr>
          <w:rFonts w:cs="Arial"/>
          <w:lang w:val="ru-RU"/>
        </w:rPr>
        <w:t>с</w:t>
      </w:r>
      <w:r w:rsidRPr="005F7836">
        <w:rPr>
          <w:rFonts w:cs="Arial"/>
          <w:lang w:val="ru-RU"/>
        </w:rPr>
        <w:t>тников</w:t>
      </w:r>
      <w:r w:rsidR="00194E9F" w:rsidRPr="005F7836">
        <w:rPr>
          <w:rFonts w:cs="Arial"/>
          <w:lang w:val="ru-RU"/>
        </w:rPr>
        <w:t xml:space="preserve"> ежегодного</w:t>
      </w:r>
      <w:r w:rsidRPr="005F7836">
        <w:rPr>
          <w:rFonts w:cs="Arial"/>
          <w:lang w:val="ru-RU"/>
        </w:rPr>
        <w:t xml:space="preserve"> проекта по сбору</w:t>
      </w:r>
      <w:r w:rsidR="00194E9F" w:rsidRPr="005F7836">
        <w:rPr>
          <w:rFonts w:cs="Arial"/>
          <w:lang w:val="ru-RU"/>
        </w:rPr>
        <w:t xml:space="preserve"> данны</w:t>
      </w:r>
      <w:r w:rsidRPr="005F7836">
        <w:rPr>
          <w:rFonts w:cs="Arial"/>
          <w:lang w:val="ru-RU"/>
        </w:rPr>
        <w:t>х и проведению сравнительного анализа. Сорок национальных обществ, которые указали на то, что не проводят</w:t>
      </w:r>
      <w:r w:rsidR="00194E9F" w:rsidRPr="005F7836">
        <w:rPr>
          <w:rFonts w:cs="Arial"/>
          <w:lang w:val="ru-RU"/>
        </w:rPr>
        <w:t xml:space="preserve"> сбор и анализ данных по </w:t>
      </w:r>
      <w:r w:rsidRPr="005F7836">
        <w:rPr>
          <w:rFonts w:cs="Arial"/>
          <w:lang w:val="ru-RU"/>
        </w:rPr>
        <w:t>эффективности привлечения средств, сослались</w:t>
      </w:r>
      <w:r w:rsidR="00194E9F" w:rsidRPr="005F7836">
        <w:rPr>
          <w:rFonts w:cs="Arial"/>
          <w:lang w:val="ru-RU"/>
        </w:rPr>
        <w:t xml:space="preserve"> на</w:t>
      </w:r>
      <w:r w:rsidRPr="005F7836">
        <w:rPr>
          <w:rFonts w:cs="Arial"/>
          <w:lang w:val="ru-RU"/>
        </w:rPr>
        <w:t xml:space="preserve"> такие причины как</w:t>
      </w:r>
      <w:r w:rsidR="00194E9F" w:rsidRPr="005F7836">
        <w:rPr>
          <w:rFonts w:cs="Arial"/>
          <w:lang w:val="ru-RU"/>
        </w:rPr>
        <w:t xml:space="preserve"> не</w:t>
      </w:r>
      <w:r w:rsidRPr="005F7836">
        <w:rPr>
          <w:rFonts w:cs="Arial"/>
          <w:lang w:val="ru-RU"/>
        </w:rPr>
        <w:t>достаточно развитый потенц</w:t>
      </w:r>
      <w:r w:rsidR="00194E9F" w:rsidRPr="005F7836">
        <w:rPr>
          <w:rFonts w:cs="Arial"/>
          <w:lang w:val="ru-RU"/>
        </w:rPr>
        <w:t>и</w:t>
      </w:r>
      <w:r w:rsidRPr="005F7836">
        <w:rPr>
          <w:rFonts w:cs="Arial"/>
          <w:lang w:val="ru-RU"/>
        </w:rPr>
        <w:t>ал, нехватка ресурсов и слабая</w:t>
      </w:r>
      <w:r w:rsidR="0002356C" w:rsidRPr="005F7836">
        <w:rPr>
          <w:rFonts w:cs="Arial"/>
          <w:lang w:val="ru-RU"/>
        </w:rPr>
        <w:t xml:space="preserve"> база</w:t>
      </w:r>
      <w:r w:rsidR="00001551" w:rsidRPr="005F7836">
        <w:rPr>
          <w:rFonts w:cs="Arial"/>
          <w:lang w:val="ru-RU"/>
        </w:rPr>
        <w:t xml:space="preserve"> данных, а также несовершенство систем</w:t>
      </w:r>
      <w:r w:rsidR="00194E9F" w:rsidRPr="005F7836">
        <w:rPr>
          <w:rFonts w:cs="Arial"/>
          <w:lang w:val="ru-RU"/>
        </w:rPr>
        <w:t xml:space="preserve"> обработки информации. </w:t>
      </w:r>
    </w:p>
    <w:p w14:paraId="1052660A" w14:textId="76368A83" w:rsidR="00194E9F" w:rsidRPr="005F7836" w:rsidRDefault="00A56069" w:rsidP="00BD5A7E">
      <w:pPr>
        <w:pStyle w:val="CoDNormal"/>
        <w:rPr>
          <w:rFonts w:cs="Arial"/>
          <w:lang w:val="ru-RU"/>
        </w:rPr>
      </w:pPr>
      <w:r w:rsidRPr="005F7836">
        <w:rPr>
          <w:rFonts w:cs="Arial"/>
          <w:lang w:val="ru-RU"/>
        </w:rPr>
        <w:t>В рамках конференции</w:t>
      </w:r>
      <w:r w:rsidR="00503397" w:rsidRPr="005F7836">
        <w:rPr>
          <w:rFonts w:cs="Arial"/>
          <w:lang w:val="ru-RU"/>
        </w:rPr>
        <w:t xml:space="preserve"> </w:t>
      </w:r>
      <w:r w:rsidR="009F38B1" w:rsidRPr="005F7836">
        <w:rPr>
          <w:rFonts w:cs="Arial"/>
          <w:lang w:val="ru-RU"/>
        </w:rPr>
        <w:t>“</w:t>
      </w:r>
      <w:r w:rsidR="00194E9F" w:rsidRPr="005F7836">
        <w:rPr>
          <w:rFonts w:cs="Arial"/>
          <w:lang w:val="ru-RU"/>
        </w:rPr>
        <w:t>Сила гуманности в области привлечения средств</w:t>
      </w:r>
      <w:r w:rsidR="009F38B1" w:rsidRPr="005F7836">
        <w:rPr>
          <w:rFonts w:cs="Arial"/>
          <w:lang w:val="ru-RU"/>
        </w:rPr>
        <w:t>”,</w:t>
      </w:r>
      <w:r w:rsidR="00503397" w:rsidRPr="005F7836">
        <w:rPr>
          <w:rStyle w:val="af4"/>
          <w:rFonts w:cs="Arial"/>
          <w:lang w:val="ru-RU"/>
        </w:rPr>
        <w:footnoteReference w:id="5"/>
      </w:r>
      <w:r w:rsidRPr="005F7836">
        <w:rPr>
          <w:rFonts w:cs="Arial"/>
          <w:lang w:val="ru-RU"/>
        </w:rPr>
        <w:t xml:space="preserve"> которая проводила</w:t>
      </w:r>
      <w:r w:rsidR="00194E9F" w:rsidRPr="005F7836">
        <w:rPr>
          <w:rFonts w:cs="Arial"/>
          <w:lang w:val="ru-RU"/>
        </w:rPr>
        <w:t xml:space="preserve">сь МККК и МФОККиКП, Янти Соэрипто, старший </w:t>
      </w:r>
      <w:r w:rsidRPr="005F7836">
        <w:rPr>
          <w:rFonts w:cs="Arial"/>
          <w:lang w:val="ru-RU"/>
        </w:rPr>
        <w:t>оперативный</w:t>
      </w:r>
      <w:r w:rsidR="00194E9F" w:rsidRPr="005F7836">
        <w:rPr>
          <w:rFonts w:cs="Arial"/>
          <w:lang w:val="ru-RU"/>
        </w:rPr>
        <w:t xml:space="preserve"> сотрудник Международной </w:t>
      </w:r>
      <w:r w:rsidRPr="005F7836">
        <w:rPr>
          <w:rFonts w:cs="Arial"/>
          <w:lang w:val="ru-RU"/>
        </w:rPr>
        <w:t>организации</w:t>
      </w:r>
      <w:r w:rsidR="00194E9F" w:rsidRPr="005F7836">
        <w:rPr>
          <w:rFonts w:cs="Arial"/>
          <w:lang w:val="ru-RU"/>
        </w:rPr>
        <w:t xml:space="preserve"> “Спасем детей”</w:t>
      </w:r>
      <w:r w:rsidR="00001551" w:rsidRPr="005F7836">
        <w:rPr>
          <w:rFonts w:cs="Arial"/>
          <w:lang w:val="ru-RU"/>
        </w:rPr>
        <w:t>,</w:t>
      </w:r>
      <w:r w:rsidR="00194E9F" w:rsidRPr="005F7836">
        <w:rPr>
          <w:rFonts w:cs="Arial"/>
          <w:lang w:val="ru-RU"/>
        </w:rPr>
        <w:t xml:space="preserve"> </w:t>
      </w:r>
      <w:r w:rsidRPr="005F7836">
        <w:rPr>
          <w:rFonts w:cs="Arial"/>
          <w:lang w:val="ru-RU"/>
        </w:rPr>
        <w:t>рассказал</w:t>
      </w:r>
      <w:r w:rsidR="00194E9F" w:rsidRPr="005F7836">
        <w:rPr>
          <w:rFonts w:cs="Arial"/>
          <w:lang w:val="ru-RU"/>
        </w:rPr>
        <w:t xml:space="preserve"> о недавних переменах в сфере </w:t>
      </w:r>
      <w:r w:rsidR="00001551" w:rsidRPr="005F7836">
        <w:rPr>
          <w:rFonts w:cs="Arial"/>
          <w:lang w:val="ru-RU"/>
        </w:rPr>
        <w:t>осуществления деятельности</w:t>
      </w:r>
      <w:r w:rsidRPr="005F7836">
        <w:rPr>
          <w:rFonts w:cs="Arial"/>
          <w:lang w:val="ru-RU"/>
        </w:rPr>
        <w:t xml:space="preserve"> по привлечению средств в своей</w:t>
      </w:r>
      <w:r w:rsidR="00194E9F" w:rsidRPr="005F7836">
        <w:rPr>
          <w:rFonts w:cs="Arial"/>
          <w:lang w:val="ru-RU"/>
        </w:rPr>
        <w:t xml:space="preserve"> организации:</w:t>
      </w:r>
    </w:p>
    <w:p w14:paraId="0982EBE7" w14:textId="044C6A73" w:rsidR="00503397" w:rsidRPr="005F7836" w:rsidRDefault="00A56069" w:rsidP="00A26E38">
      <w:pPr>
        <w:pStyle w:val="CoDNormal"/>
        <w:ind w:left="142" w:right="118"/>
        <w:rPr>
          <w:rFonts w:cs="Arial"/>
          <w:lang w:val="ru-RU"/>
        </w:rPr>
      </w:pPr>
      <w:r w:rsidRPr="005F7836">
        <w:rPr>
          <w:rFonts w:cs="Arial"/>
          <w:lang w:val="ru-RU"/>
        </w:rPr>
        <w:t>Мы стали более внимательно</w:t>
      </w:r>
      <w:r w:rsidR="00194E9F" w:rsidRPr="005F7836">
        <w:rPr>
          <w:rFonts w:cs="Arial"/>
          <w:lang w:val="ru-RU"/>
        </w:rPr>
        <w:t xml:space="preserve"> подходить к </w:t>
      </w:r>
      <w:r w:rsidRPr="005F7836">
        <w:rPr>
          <w:rFonts w:cs="Arial"/>
          <w:lang w:val="ru-RU"/>
        </w:rPr>
        <w:t xml:space="preserve">работе с </w:t>
      </w:r>
      <w:r w:rsidR="00194E9F" w:rsidRPr="005F7836">
        <w:rPr>
          <w:rFonts w:cs="Arial"/>
          <w:lang w:val="ru-RU"/>
        </w:rPr>
        <w:t>данным</w:t>
      </w:r>
      <w:r w:rsidRPr="005F7836">
        <w:rPr>
          <w:rFonts w:cs="Arial"/>
          <w:lang w:val="ru-RU"/>
        </w:rPr>
        <w:t>и</w:t>
      </w:r>
      <w:r w:rsidR="00194E9F" w:rsidRPr="005F7836">
        <w:rPr>
          <w:rFonts w:cs="Arial"/>
          <w:lang w:val="ru-RU"/>
        </w:rPr>
        <w:t xml:space="preserve">: каковы показатели </w:t>
      </w:r>
      <w:r w:rsidRPr="005F7836">
        <w:rPr>
          <w:rFonts w:cs="Arial"/>
          <w:lang w:val="ru-RU"/>
        </w:rPr>
        <w:t>эффективности нашей работы; по каким направлениям работы</w:t>
      </w:r>
      <w:r w:rsidR="00194E9F" w:rsidRPr="005F7836">
        <w:rPr>
          <w:rFonts w:cs="Arial"/>
          <w:lang w:val="ru-RU"/>
        </w:rPr>
        <w:t xml:space="preserve"> мы завоевываем долю рынка</w:t>
      </w:r>
      <w:r w:rsidR="00503397" w:rsidRPr="005F7836">
        <w:rPr>
          <w:rFonts w:cs="Arial"/>
          <w:lang w:val="ru-RU"/>
        </w:rPr>
        <w:t>,</w:t>
      </w:r>
      <w:r w:rsidRPr="005F7836">
        <w:rPr>
          <w:rFonts w:cs="Arial"/>
          <w:lang w:val="ru-RU"/>
        </w:rPr>
        <w:t xml:space="preserve"> а где</w:t>
      </w:r>
      <w:r w:rsidR="00194E9F" w:rsidRPr="005F7836">
        <w:rPr>
          <w:rFonts w:cs="Arial"/>
          <w:lang w:val="ru-RU"/>
        </w:rPr>
        <w:t xml:space="preserve"> мы ее теряем и кому отдаем</w:t>
      </w:r>
      <w:r w:rsidR="006C5E75" w:rsidRPr="005F7836">
        <w:rPr>
          <w:rFonts w:cs="Arial"/>
          <w:lang w:val="ru-RU"/>
        </w:rPr>
        <w:t xml:space="preserve">; </w:t>
      </w:r>
      <w:r w:rsidRPr="005F7836">
        <w:rPr>
          <w:rFonts w:cs="Arial"/>
          <w:lang w:val="ru-RU"/>
        </w:rPr>
        <w:t>каков объем наших инвестиций и в какие проекты</w:t>
      </w:r>
      <w:r w:rsidR="00503397" w:rsidRPr="005F7836">
        <w:rPr>
          <w:rFonts w:cs="Arial"/>
          <w:lang w:val="ru-RU"/>
        </w:rPr>
        <w:t>;</w:t>
      </w:r>
      <w:r w:rsidR="006C5E75" w:rsidRPr="005F7836">
        <w:rPr>
          <w:rFonts w:cs="Arial"/>
          <w:lang w:val="ru-RU"/>
        </w:rPr>
        <w:t xml:space="preserve"> кто </w:t>
      </w:r>
      <w:r w:rsidRPr="005F7836">
        <w:rPr>
          <w:rFonts w:cs="Arial"/>
          <w:lang w:val="ru-RU"/>
        </w:rPr>
        <w:t>инвертирует больший объем средств и в какие проекты</w:t>
      </w:r>
      <w:r w:rsidR="00503397" w:rsidRPr="005F7836">
        <w:rPr>
          <w:rFonts w:cs="Arial"/>
          <w:lang w:val="ru-RU"/>
        </w:rPr>
        <w:t xml:space="preserve">, </w:t>
      </w:r>
      <w:r w:rsidR="006C5E75" w:rsidRPr="005F7836">
        <w:rPr>
          <w:rFonts w:cs="Arial"/>
          <w:lang w:val="ru-RU"/>
        </w:rPr>
        <w:t>и каковы их результаты</w:t>
      </w:r>
      <w:r w:rsidR="00FC7921" w:rsidRPr="005F7836">
        <w:rPr>
          <w:rFonts w:cs="Arial"/>
          <w:lang w:val="ru-RU"/>
        </w:rPr>
        <w:t xml:space="preserve">. Это позволило нам получить </w:t>
      </w:r>
      <w:r w:rsidRPr="005F7836">
        <w:rPr>
          <w:rFonts w:cs="Arial"/>
          <w:lang w:val="ru-RU"/>
        </w:rPr>
        <w:t>более четкую картину того, какие действия нам следует предпринять. Подобный</w:t>
      </w:r>
      <w:r w:rsidR="00FC7921" w:rsidRPr="005F7836">
        <w:rPr>
          <w:rFonts w:cs="Arial"/>
          <w:lang w:val="ru-RU"/>
        </w:rPr>
        <w:t xml:space="preserve"> анализ данных –</w:t>
      </w:r>
      <w:r w:rsidRPr="005F7836">
        <w:rPr>
          <w:rFonts w:cs="Arial"/>
          <w:lang w:val="ru-RU"/>
        </w:rPr>
        <w:t xml:space="preserve"> неизменная </w:t>
      </w:r>
      <w:r w:rsidR="00FC7921" w:rsidRPr="005F7836">
        <w:rPr>
          <w:rFonts w:cs="Arial"/>
          <w:lang w:val="ru-RU"/>
        </w:rPr>
        <w:t>отправная точка</w:t>
      </w:r>
      <w:r w:rsidRPr="005F7836">
        <w:rPr>
          <w:rFonts w:cs="Arial"/>
          <w:lang w:val="ru-RU"/>
        </w:rPr>
        <w:t>, с которой</w:t>
      </w:r>
      <w:r w:rsidR="00FC7921" w:rsidRPr="005F7836">
        <w:rPr>
          <w:rFonts w:cs="Arial"/>
          <w:lang w:val="ru-RU"/>
        </w:rPr>
        <w:t xml:space="preserve"> следует начинать. </w:t>
      </w:r>
    </w:p>
    <w:p w14:paraId="77CF4B03" w14:textId="31E98F6C" w:rsidR="00E71D31" w:rsidRPr="005F7836" w:rsidRDefault="00A56069" w:rsidP="00BD5A7E">
      <w:pPr>
        <w:pStyle w:val="CoDNormal"/>
        <w:rPr>
          <w:rFonts w:cs="Arial"/>
          <w:lang w:val="ru-RU" w:eastAsia="en-GB"/>
        </w:rPr>
      </w:pPr>
      <w:r w:rsidRPr="005F7836">
        <w:rPr>
          <w:rFonts w:cs="Arial"/>
          <w:lang w:val="ru-RU" w:eastAsia="en-GB"/>
        </w:rPr>
        <w:t>Если мы хотим добиться потенциального роста, с</w:t>
      </w:r>
      <w:r w:rsidR="00FC7921" w:rsidRPr="005F7836">
        <w:rPr>
          <w:rFonts w:cs="Arial"/>
          <w:lang w:val="ru-RU" w:eastAsia="en-GB"/>
        </w:rPr>
        <w:t>тратегические инвестиции в привлечение</w:t>
      </w:r>
      <w:r w:rsidRPr="005F7836">
        <w:rPr>
          <w:rFonts w:cs="Arial"/>
          <w:lang w:val="ru-RU" w:eastAsia="en-GB"/>
        </w:rPr>
        <w:t xml:space="preserve"> средств должны</w:t>
      </w:r>
      <w:r w:rsidR="00FC7921" w:rsidRPr="005F7836">
        <w:rPr>
          <w:rFonts w:cs="Arial"/>
          <w:lang w:val="ru-RU" w:eastAsia="en-GB"/>
        </w:rPr>
        <w:t xml:space="preserve"> основываться</w:t>
      </w:r>
      <w:r w:rsidRPr="005F7836">
        <w:rPr>
          <w:rFonts w:cs="Arial"/>
          <w:lang w:val="ru-RU" w:eastAsia="en-GB"/>
        </w:rPr>
        <w:t xml:space="preserve"> на четком анализе данных и рынков. Организация систематического сбора и анализа данных участниками Движен</w:t>
      </w:r>
      <w:r w:rsidR="00FC7921" w:rsidRPr="005F7836">
        <w:rPr>
          <w:rFonts w:cs="Arial"/>
          <w:lang w:val="ru-RU" w:eastAsia="en-GB"/>
        </w:rPr>
        <w:t>и</w:t>
      </w:r>
      <w:r w:rsidRPr="005F7836">
        <w:rPr>
          <w:rFonts w:cs="Arial"/>
          <w:lang w:val="ru-RU" w:eastAsia="en-GB"/>
        </w:rPr>
        <w:t>я</w:t>
      </w:r>
      <w:r w:rsidR="00FC7921" w:rsidRPr="005F7836">
        <w:rPr>
          <w:rFonts w:cs="Arial"/>
          <w:lang w:val="ru-RU" w:eastAsia="en-GB"/>
        </w:rPr>
        <w:t xml:space="preserve"> </w:t>
      </w:r>
      <w:r w:rsidRPr="005F7836">
        <w:rPr>
          <w:rFonts w:cs="Arial"/>
          <w:lang w:val="ru-RU" w:eastAsia="en-GB"/>
        </w:rPr>
        <w:t xml:space="preserve">позволит разработать более эффективные </w:t>
      </w:r>
      <w:r w:rsidR="00FC7921" w:rsidRPr="005F7836">
        <w:rPr>
          <w:rFonts w:cs="Arial"/>
          <w:lang w:val="ru-RU" w:eastAsia="en-GB"/>
        </w:rPr>
        <w:t>инвестиционные решения на м</w:t>
      </w:r>
      <w:r w:rsidRPr="005F7836">
        <w:rPr>
          <w:rFonts w:cs="Arial"/>
          <w:lang w:val="ru-RU" w:eastAsia="en-GB"/>
        </w:rPr>
        <w:t>е</w:t>
      </w:r>
      <w:r w:rsidR="00FC7921" w:rsidRPr="005F7836">
        <w:rPr>
          <w:rFonts w:cs="Arial"/>
          <w:lang w:val="ru-RU" w:eastAsia="en-GB"/>
        </w:rPr>
        <w:t xml:space="preserve">стном, </w:t>
      </w:r>
      <w:r w:rsidRPr="005F7836">
        <w:rPr>
          <w:rFonts w:cs="Arial"/>
          <w:lang w:val="ru-RU" w:eastAsia="en-GB"/>
        </w:rPr>
        <w:t>национальном</w:t>
      </w:r>
      <w:r w:rsidR="00FC7921" w:rsidRPr="005F7836">
        <w:rPr>
          <w:rFonts w:cs="Arial"/>
          <w:lang w:val="ru-RU" w:eastAsia="en-GB"/>
        </w:rPr>
        <w:t xml:space="preserve"> и глобальном уровне; </w:t>
      </w:r>
      <w:r w:rsidRPr="005F7836">
        <w:rPr>
          <w:rFonts w:cs="Arial"/>
          <w:lang w:val="ru-RU" w:eastAsia="en-GB"/>
        </w:rPr>
        <w:t>обеспечит руководство в принятии решений</w:t>
      </w:r>
      <w:r w:rsidR="00FC7921" w:rsidRPr="005F7836">
        <w:rPr>
          <w:rFonts w:cs="Arial"/>
          <w:lang w:val="ru-RU" w:eastAsia="en-GB"/>
        </w:rPr>
        <w:t xml:space="preserve"> п</w:t>
      </w:r>
      <w:r w:rsidRPr="005F7836">
        <w:rPr>
          <w:rFonts w:cs="Arial"/>
          <w:lang w:val="ru-RU" w:eastAsia="en-GB"/>
        </w:rPr>
        <w:t>о инвестициям в инициативы национальных обществ по привлечению средств; и позволит получить</w:t>
      </w:r>
      <w:r w:rsidR="00FC7921" w:rsidRPr="005F7836">
        <w:rPr>
          <w:rFonts w:cs="Arial"/>
          <w:lang w:val="ru-RU" w:eastAsia="en-GB"/>
        </w:rPr>
        <w:t xml:space="preserve"> информацию о том, как </w:t>
      </w:r>
      <w:r w:rsidRPr="005F7836">
        <w:rPr>
          <w:rFonts w:cs="Arial"/>
          <w:lang w:val="ru-RU" w:eastAsia="en-GB"/>
        </w:rPr>
        <w:t xml:space="preserve">работают конкуренты (за счет получения </w:t>
      </w:r>
      <w:r w:rsidR="00FC7921" w:rsidRPr="005F7836">
        <w:rPr>
          <w:rFonts w:cs="Arial"/>
          <w:lang w:val="ru-RU" w:eastAsia="en-GB"/>
        </w:rPr>
        <w:t xml:space="preserve">сравнительных данных), а также о потенциальных </w:t>
      </w:r>
      <w:r w:rsidRPr="005F7836">
        <w:rPr>
          <w:rFonts w:cs="Arial"/>
          <w:lang w:val="ru-RU" w:eastAsia="en-GB"/>
        </w:rPr>
        <w:t>рыночных возможностях и угрозах</w:t>
      </w:r>
      <w:r w:rsidR="00FC7921" w:rsidRPr="005F7836">
        <w:rPr>
          <w:rFonts w:cs="Arial"/>
          <w:lang w:val="ru-RU" w:eastAsia="en-GB"/>
        </w:rPr>
        <w:t xml:space="preserve">. </w:t>
      </w:r>
    </w:p>
    <w:p w14:paraId="128CD4A2" w14:textId="5AA7E92B" w:rsidR="00157CA2" w:rsidRPr="005F7836" w:rsidRDefault="00791C69" w:rsidP="00BD5A7E">
      <w:pPr>
        <w:pStyle w:val="CoDNormal"/>
        <w:rPr>
          <w:rFonts w:cs="Arial"/>
          <w:lang w:val="ru-RU"/>
        </w:rPr>
      </w:pPr>
      <w:r w:rsidRPr="005F7836">
        <w:rPr>
          <w:rFonts w:cs="Arial"/>
          <w:noProof/>
          <w:lang w:val="ru-RU" w:eastAsia="ru-RU"/>
        </w:rPr>
        <w:lastRenderedPageBreak/>
        <w:drawing>
          <wp:inline distT="0" distB="0" distL="0" distR="0" wp14:anchorId="5C4A0F8D" wp14:editId="2F48A0AA">
            <wp:extent cx="3845773" cy="2103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67591" cy="2115690"/>
                    </a:xfrm>
                    <a:prstGeom prst="rect">
                      <a:avLst/>
                    </a:prstGeom>
                    <a:noFill/>
                  </pic:spPr>
                </pic:pic>
              </a:graphicData>
            </a:graphic>
          </wp:inline>
        </w:drawing>
      </w:r>
      <w:r w:rsidR="00157CA2" w:rsidRPr="005F7836">
        <w:rPr>
          <w:rFonts w:cs="Arial"/>
          <w:noProof/>
          <w:lang w:val="ru-RU" w:eastAsia="ru-RU"/>
        </w:rPr>
        <mc:AlternateContent>
          <mc:Choice Requires="wps">
            <w:drawing>
              <wp:inline distT="0" distB="0" distL="0" distR="0" wp14:anchorId="3513755F" wp14:editId="4C8A0C4F">
                <wp:extent cx="4140403" cy="209550"/>
                <wp:effectExtent l="0" t="0" r="0" b="0"/>
                <wp:docPr id="11" name="Title 1">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140403" cy="209550"/>
                        </a:xfrm>
                        <a:prstGeom prst="rect">
                          <a:avLst/>
                        </a:prstGeom>
                        <a:solidFill>
                          <a:srgbClr val="FFFFFF"/>
                        </a:solidFill>
                        <a:ln w="9525">
                          <a:noFill/>
                          <a:miter lim="800000"/>
                          <a:headEnd/>
                          <a:tailEnd/>
                        </a:ln>
                      </wps:spPr>
                      <wps:txbx>
                        <w:txbxContent>
                          <w:p w14:paraId="46F6DCA7" w14:textId="3F447AFB" w:rsidR="008073DB" w:rsidRPr="00292427" w:rsidRDefault="008073DB" w:rsidP="00BD5A7E">
                            <w:pPr>
                              <w:jc w:val="both"/>
                              <w:rPr>
                                <w:rFonts w:ascii="Arial" w:eastAsia="MS Mincho" w:hAnsi="Arial"/>
                                <w:sz w:val="18"/>
                                <w:szCs w:val="18"/>
                              </w:rPr>
                            </w:pPr>
                            <w:r w:rsidRPr="00292427">
                              <w:rPr>
                                <w:rFonts w:ascii="Arial" w:eastAsia="MS Mincho" w:hAnsi="Arial" w:cs="Arial"/>
                                <w:b/>
                                <w:bCs/>
                                <w:i/>
                                <w:iCs/>
                                <w:color w:val="000000" w:themeColor="text1"/>
                                <w:kern w:val="24"/>
                                <w:sz w:val="18"/>
                                <w:szCs w:val="18"/>
                              </w:rPr>
                              <w:t xml:space="preserve">% </w:t>
                            </w:r>
                            <w:proofErr w:type="gramStart"/>
                            <w:r>
                              <w:rPr>
                                <w:rFonts w:ascii="Arial" w:eastAsia="MS Mincho" w:hAnsi="Arial" w:cs="Arial"/>
                                <w:b/>
                                <w:bCs/>
                                <w:i/>
                                <w:iCs/>
                                <w:color w:val="000000" w:themeColor="text1"/>
                                <w:kern w:val="24"/>
                                <w:sz w:val="18"/>
                                <w:szCs w:val="18"/>
                              </w:rPr>
                              <w:t>of</w:t>
                            </w:r>
                            <w:proofErr w:type="gramEnd"/>
                            <w:r>
                              <w:rPr>
                                <w:rFonts w:ascii="Arial" w:eastAsia="MS Mincho" w:hAnsi="Arial" w:cs="Arial"/>
                                <w:b/>
                                <w:bCs/>
                                <w:i/>
                                <w:iCs/>
                                <w:color w:val="000000" w:themeColor="text1"/>
                                <w:kern w:val="24"/>
                                <w:sz w:val="18"/>
                                <w:szCs w:val="18"/>
                              </w:rPr>
                              <w:t xml:space="preserve"> </w:t>
                            </w:r>
                            <w:r w:rsidRPr="00292427">
                              <w:rPr>
                                <w:rFonts w:ascii="Arial" w:eastAsia="MS Mincho" w:hAnsi="Arial" w:cs="Arial"/>
                                <w:b/>
                                <w:bCs/>
                                <w:i/>
                                <w:iCs/>
                                <w:color w:val="000000" w:themeColor="text1"/>
                                <w:kern w:val="24"/>
                                <w:sz w:val="18"/>
                                <w:szCs w:val="18"/>
                              </w:rPr>
                              <w:t>market</w:t>
                            </w:r>
                            <w:r>
                              <w:rPr>
                                <w:rFonts w:ascii="Arial" w:eastAsia="MS Mincho" w:hAnsi="Arial" w:cs="Arial"/>
                                <w:b/>
                                <w:bCs/>
                                <w:i/>
                                <w:iCs/>
                                <w:color w:val="000000" w:themeColor="text1"/>
                                <w:kern w:val="24"/>
                                <w:sz w:val="18"/>
                                <w:szCs w:val="18"/>
                              </w:rPr>
                              <w:t xml:space="preserve"> share (all income categories) – 2015 compared with 2011</w:t>
                            </w:r>
                          </w:p>
                        </w:txbxContent>
                      </wps:txbx>
                      <wps:bodyPr rot="0" vert="horz" wrap="square" lIns="91440" tIns="45720" rIns="91440" bIns="45720" numCol="1" anchor="ctr" anchorCtr="0" compatLnSpc="1">
                        <a:prstTxWarp prst="textNoShape">
                          <a:avLst/>
                        </a:prstTxWarp>
                        <a:noAutofit/>
                      </wps:bodyPr>
                    </wps:wsp>
                  </a:graphicData>
                </a:graphic>
              </wp:inline>
            </w:drawing>
          </mc:Choice>
          <mc:Fallback xmlns:w15="http://schemas.microsoft.com/office/word/2012/wordml">
            <w:pict>
              <v:rect w14:anchorId="3513755F" id="Title 1" o:spid="_x0000_s1026" style="width:326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" stroked="f">
                <v:path arrowok="t"/>
                <o:lock v:ext="edit" grouping="t"/>
                <v:textbox>
                  <w:txbxContent>
                    <w:p w14:paraId="46F6DCA7" w14:textId="3F447AFB" w:rsidR="009002F5" w:rsidRPr="00292427" w:rsidRDefault="009002F5" w:rsidP="00BD5A7E">
                      <w:pPr>
                        <w:jc w:val="both"/>
                        <w:rPr>
                          <w:rFonts w:ascii="Arial" w:eastAsia="MS Mincho" w:hAnsi="Arial"/>
                          <w:sz w:val="18"/>
                          <w:szCs w:val="18"/>
                        </w:rPr>
                      </w:pPr>
                      <w:r w:rsidRPr="00292427">
                        <w:rPr>
                          <w:rFonts w:ascii="Arial" w:eastAsia="MS Mincho" w:hAnsi="Arial" w:cs="Arial"/>
                          <w:b/>
                          <w:bCs/>
                          <w:i/>
                          <w:iCs/>
                          <w:color w:val="000000" w:themeColor="text1"/>
                          <w:kern w:val="24"/>
                          <w:sz w:val="18"/>
                          <w:szCs w:val="18"/>
                        </w:rPr>
                        <w:t xml:space="preserve">% </w:t>
                      </w:r>
                      <w:r>
                        <w:rPr>
                          <w:rFonts w:ascii="Arial" w:eastAsia="MS Mincho" w:hAnsi="Arial" w:cs="Arial"/>
                          <w:b/>
                          <w:bCs/>
                          <w:i/>
                          <w:iCs/>
                          <w:color w:val="000000" w:themeColor="text1"/>
                          <w:kern w:val="24"/>
                          <w:sz w:val="18"/>
                          <w:szCs w:val="18"/>
                        </w:rPr>
                        <w:t xml:space="preserve">of </w:t>
                      </w:r>
                      <w:r w:rsidRPr="00292427">
                        <w:rPr>
                          <w:rFonts w:ascii="Arial" w:eastAsia="MS Mincho" w:hAnsi="Arial" w:cs="Arial"/>
                          <w:b/>
                          <w:bCs/>
                          <w:i/>
                          <w:iCs/>
                          <w:color w:val="000000" w:themeColor="text1"/>
                          <w:kern w:val="24"/>
                          <w:sz w:val="18"/>
                          <w:szCs w:val="18"/>
                        </w:rPr>
                        <w:t>market</w:t>
                      </w:r>
                      <w:r>
                        <w:rPr>
                          <w:rFonts w:ascii="Arial" w:eastAsia="MS Mincho" w:hAnsi="Arial" w:cs="Arial"/>
                          <w:b/>
                          <w:bCs/>
                          <w:i/>
                          <w:iCs/>
                          <w:color w:val="000000" w:themeColor="text1"/>
                          <w:kern w:val="24"/>
                          <w:sz w:val="18"/>
                          <w:szCs w:val="18"/>
                        </w:rPr>
                        <w:t xml:space="preserve"> share (all income categories) – 201</w:t>
                      </w:r>
                      <w:r w:rsidR="009F066D">
                        <w:rPr>
                          <w:rFonts w:ascii="Arial" w:eastAsia="MS Mincho" w:hAnsi="Arial" w:cs="Arial"/>
                          <w:b/>
                          <w:bCs/>
                          <w:i/>
                          <w:iCs/>
                          <w:color w:val="000000" w:themeColor="text1"/>
                          <w:kern w:val="24"/>
                          <w:sz w:val="18"/>
                          <w:szCs w:val="18"/>
                        </w:rPr>
                        <w:t>5</w:t>
                      </w:r>
                      <w:r>
                        <w:rPr>
                          <w:rFonts w:ascii="Arial" w:eastAsia="MS Mincho" w:hAnsi="Arial" w:cs="Arial"/>
                          <w:b/>
                          <w:bCs/>
                          <w:i/>
                          <w:iCs/>
                          <w:color w:val="000000" w:themeColor="text1"/>
                          <w:kern w:val="24"/>
                          <w:sz w:val="18"/>
                          <w:szCs w:val="18"/>
                        </w:rPr>
                        <w:t xml:space="preserve"> compared with 2011</w:t>
                      </w:r>
                    </w:p>
                  </w:txbxContent>
                </v:textbox>
                <w10:anchorlock/>
              </v:rect>
            </w:pict>
          </mc:Fallback>
        </mc:AlternateContent>
      </w:r>
    </w:p>
    <w:p w14:paraId="4A174FC5" w14:textId="41CBA68A" w:rsidR="00965028" w:rsidRPr="005F7836" w:rsidRDefault="00A92A05" w:rsidP="00BD5A7E">
      <w:pPr>
        <w:pStyle w:val="CoDHeading3"/>
        <w:rPr>
          <w:rFonts w:cs="Arial"/>
          <w:lang w:val="ru-RU"/>
        </w:rPr>
      </w:pPr>
      <w:r w:rsidRPr="005F7836">
        <w:rPr>
          <w:rFonts w:cs="Arial"/>
          <w:lang w:val="en-US"/>
        </w:rPr>
        <w:t xml:space="preserve">         </w:t>
      </w:r>
      <w:r w:rsidR="00965028" w:rsidRPr="005F7836">
        <w:rPr>
          <w:rFonts w:cs="Arial"/>
          <w:lang w:val="en-US"/>
        </w:rPr>
        <w:t xml:space="preserve">% </w:t>
      </w:r>
      <w:r w:rsidR="00965028" w:rsidRPr="005F7836">
        <w:rPr>
          <w:rFonts w:cs="Arial"/>
          <w:lang w:val="ru-RU"/>
        </w:rPr>
        <w:t>доля рынка (все категории доходов) – 2015 год в сравнении с 2011 годом</w:t>
      </w:r>
    </w:p>
    <w:p w14:paraId="4F518C21" w14:textId="107FAE55" w:rsidR="00F4326B" w:rsidRPr="005F7836" w:rsidRDefault="00FC7921" w:rsidP="00BD5A7E">
      <w:pPr>
        <w:pStyle w:val="CoDHeading3"/>
        <w:rPr>
          <w:rFonts w:cs="Arial"/>
          <w:lang w:val="ru-RU"/>
        </w:rPr>
      </w:pPr>
      <w:r w:rsidRPr="005F7836">
        <w:rPr>
          <w:rFonts w:cs="Arial"/>
          <w:lang w:val="ru-RU"/>
        </w:rPr>
        <w:t>Инвестиции в привлечение средств</w:t>
      </w:r>
    </w:p>
    <w:p w14:paraId="0D4FAC81" w14:textId="752CBD00" w:rsidR="00FC7921" w:rsidRPr="005F7836" w:rsidRDefault="00A92A05" w:rsidP="00BD5A7E">
      <w:pPr>
        <w:pStyle w:val="CoDNormal"/>
        <w:rPr>
          <w:rFonts w:cs="Arial"/>
          <w:lang w:val="ru-RU"/>
        </w:rPr>
      </w:pPr>
      <w:r w:rsidRPr="005F7836">
        <w:rPr>
          <w:rFonts w:cs="Arial"/>
          <w:lang w:val="ru-RU"/>
        </w:rPr>
        <w:t>Среди</w:t>
      </w:r>
      <w:r w:rsidR="00FC7921" w:rsidRPr="005F7836">
        <w:rPr>
          <w:rFonts w:cs="Arial"/>
          <w:lang w:val="ru-RU"/>
        </w:rPr>
        <w:t xml:space="preserve"> про</w:t>
      </w:r>
      <w:r w:rsidRPr="005F7836">
        <w:rPr>
          <w:rFonts w:cs="Arial"/>
          <w:lang w:val="ru-RU"/>
        </w:rPr>
        <w:t xml:space="preserve">фессионалов по привлечению средств </w:t>
      </w:r>
      <w:r w:rsidR="00FC7921" w:rsidRPr="005F7836">
        <w:rPr>
          <w:rFonts w:cs="Arial"/>
          <w:lang w:val="ru-RU"/>
        </w:rPr>
        <w:t xml:space="preserve">широко признанно, что стратегические инвестиции в привлечение </w:t>
      </w:r>
      <w:r w:rsidRPr="005F7836">
        <w:rPr>
          <w:rFonts w:cs="Arial"/>
          <w:lang w:val="ru-RU"/>
        </w:rPr>
        <w:t>средств могут обеспечить</w:t>
      </w:r>
      <w:r w:rsidR="00FC7921" w:rsidRPr="005F7836">
        <w:rPr>
          <w:rFonts w:cs="Arial"/>
          <w:lang w:val="ru-RU"/>
        </w:rPr>
        <w:t xml:space="preserve"> устойчивый рост доходов. Сравни</w:t>
      </w:r>
      <w:r w:rsidR="00EC1E4F" w:rsidRPr="005F7836">
        <w:rPr>
          <w:rFonts w:cs="Arial"/>
          <w:lang w:val="ru-RU"/>
        </w:rPr>
        <w:t>тельное исследование, проведенно</w:t>
      </w:r>
      <w:r w:rsidR="00FC7921" w:rsidRPr="005F7836">
        <w:rPr>
          <w:rFonts w:cs="Arial"/>
          <w:lang w:val="ru-RU"/>
        </w:rPr>
        <w:t>е Международным форумом по обеспечению лидерства в области привлечения средств, показало,</w:t>
      </w:r>
      <w:r w:rsidRPr="005F7836">
        <w:rPr>
          <w:rFonts w:cs="Arial"/>
          <w:lang w:val="ru-RU"/>
        </w:rPr>
        <w:t xml:space="preserve"> что организации, которые осуществляют целенаправленные </w:t>
      </w:r>
      <w:r w:rsidR="00FC7921" w:rsidRPr="005F7836">
        <w:rPr>
          <w:rFonts w:cs="Arial"/>
          <w:lang w:val="ru-RU"/>
        </w:rPr>
        <w:t>долгосрочные инвестиции в стратегически</w:t>
      </w:r>
      <w:r w:rsidRPr="005F7836">
        <w:rPr>
          <w:rFonts w:cs="Arial"/>
          <w:lang w:val="ru-RU"/>
        </w:rPr>
        <w:t>е</w:t>
      </w:r>
      <w:r w:rsidR="00FC7921" w:rsidRPr="005F7836">
        <w:rPr>
          <w:rFonts w:cs="Arial"/>
          <w:lang w:val="ru-RU"/>
        </w:rPr>
        <w:t xml:space="preserve"> </w:t>
      </w:r>
      <w:r w:rsidRPr="005F7836">
        <w:rPr>
          <w:rFonts w:cs="Arial"/>
          <w:lang w:val="ru-RU"/>
        </w:rPr>
        <w:t>рынки, демонстрируют значит</w:t>
      </w:r>
      <w:r w:rsidR="00D24345" w:rsidRPr="005F7836">
        <w:rPr>
          <w:rFonts w:cs="Arial"/>
          <w:lang w:val="ru-RU"/>
        </w:rPr>
        <w:t>ельный рост доходов. Те же, кто</w:t>
      </w:r>
      <w:r w:rsidRPr="005F7836">
        <w:rPr>
          <w:rFonts w:cs="Arial"/>
          <w:lang w:val="ru-RU"/>
        </w:rPr>
        <w:t xml:space="preserve"> не осуществляют таких инвестиций, сталкиваются с б</w:t>
      </w:r>
      <w:r w:rsidRPr="005F7836">
        <w:rPr>
          <w:rFonts w:cs="Arial"/>
          <w:i/>
          <w:lang w:val="ru-RU"/>
        </w:rPr>
        <w:t>о</w:t>
      </w:r>
      <w:r w:rsidRPr="005F7836">
        <w:rPr>
          <w:rFonts w:cs="Arial"/>
          <w:lang w:val="ru-RU"/>
        </w:rPr>
        <w:t>льшими сложностями в обеспечении роста</w:t>
      </w:r>
      <w:r w:rsidR="00FC7921" w:rsidRPr="005F7836">
        <w:rPr>
          <w:rFonts w:cs="Arial"/>
          <w:lang w:val="ru-RU"/>
        </w:rPr>
        <w:t>.</w:t>
      </w:r>
      <w:r w:rsidRPr="005F7836">
        <w:rPr>
          <w:rFonts w:cs="Arial"/>
          <w:lang w:val="ru-RU"/>
        </w:rPr>
        <w:t xml:space="preserve"> </w:t>
      </w:r>
      <w:r w:rsidR="00D24345" w:rsidRPr="005F7836">
        <w:rPr>
          <w:rFonts w:cs="Arial"/>
          <w:lang w:val="ru-RU"/>
        </w:rPr>
        <w:t>Организации</w:t>
      </w:r>
      <w:r w:rsidR="000D51BB" w:rsidRPr="005F7836">
        <w:rPr>
          <w:rFonts w:cs="Arial"/>
          <w:lang w:val="ru-RU"/>
        </w:rPr>
        <w:t xml:space="preserve">, вставшие на путь роста, принимают стратегическое решение </w:t>
      </w:r>
      <w:r w:rsidRPr="005F7836">
        <w:rPr>
          <w:rFonts w:cs="Arial"/>
          <w:lang w:val="ru-RU"/>
        </w:rPr>
        <w:t>инвестировать в увеличение объема</w:t>
      </w:r>
      <w:r w:rsidR="000D51BB" w:rsidRPr="005F7836">
        <w:rPr>
          <w:rFonts w:cs="Arial"/>
          <w:lang w:val="ru-RU"/>
        </w:rPr>
        <w:t xml:space="preserve"> доходов в странах с возможностями абсолютного роста и рентабельного роста устойчивого долгосрочного дохода. </w:t>
      </w:r>
    </w:p>
    <w:p w14:paraId="0DE42FD7" w14:textId="7EC6B26B" w:rsidR="000D51BB" w:rsidRPr="005F7836" w:rsidRDefault="000D51BB" w:rsidP="00BD5A7E">
      <w:pPr>
        <w:pStyle w:val="CoDNormal"/>
        <w:rPr>
          <w:rFonts w:cs="Arial"/>
          <w:lang w:val="ru-RU"/>
        </w:rPr>
      </w:pPr>
      <w:r w:rsidRPr="005F7836">
        <w:rPr>
          <w:rFonts w:cs="Arial"/>
          <w:lang w:val="ru-RU"/>
        </w:rPr>
        <w:t>Основная</w:t>
      </w:r>
      <w:r w:rsidR="00D24345" w:rsidRPr="005F7836">
        <w:rPr>
          <w:rFonts w:cs="Arial"/>
          <w:lang w:val="ru-RU"/>
        </w:rPr>
        <w:t xml:space="preserve"> доля</w:t>
      </w:r>
      <w:r w:rsidRPr="005F7836">
        <w:rPr>
          <w:rFonts w:cs="Arial"/>
          <w:lang w:val="ru-RU"/>
        </w:rPr>
        <w:t xml:space="preserve"> инвестиций для большинства </w:t>
      </w:r>
      <w:r w:rsidR="00D24345" w:rsidRPr="005F7836">
        <w:rPr>
          <w:rFonts w:cs="Arial"/>
          <w:lang w:val="ru-RU"/>
        </w:rPr>
        <w:t>организацией</w:t>
      </w:r>
      <w:r w:rsidRPr="005F7836">
        <w:rPr>
          <w:rFonts w:cs="Arial"/>
          <w:lang w:val="ru-RU"/>
        </w:rPr>
        <w:t xml:space="preserve"> строится на основе </w:t>
      </w:r>
      <w:r w:rsidR="00D24345" w:rsidRPr="005F7836">
        <w:rPr>
          <w:rFonts w:cs="Arial"/>
          <w:lang w:val="ru-RU"/>
        </w:rPr>
        <w:t xml:space="preserve">поддержки </w:t>
      </w:r>
      <w:r w:rsidR="002404C7" w:rsidRPr="005F7836">
        <w:rPr>
          <w:rFonts w:cs="Arial"/>
          <w:lang w:val="ru-RU"/>
        </w:rPr>
        <w:t>отдельных</w:t>
      </w:r>
      <w:r w:rsidR="00D24345" w:rsidRPr="005F7836">
        <w:rPr>
          <w:rFonts w:cs="Arial"/>
          <w:lang w:val="ru-RU"/>
        </w:rPr>
        <w:t xml:space="preserve"> частных</w:t>
      </w:r>
      <w:r w:rsidRPr="005F7836">
        <w:rPr>
          <w:rFonts w:cs="Arial"/>
          <w:lang w:val="ru-RU"/>
        </w:rPr>
        <w:t xml:space="preserve"> доноров, которые поддерживают организацию ежемесячными или регулярными </w:t>
      </w:r>
      <w:r w:rsidR="00D24345" w:rsidRPr="005F7836">
        <w:rPr>
          <w:rFonts w:cs="Arial"/>
          <w:lang w:val="ru-RU"/>
        </w:rPr>
        <w:t>пожертвованиями</w:t>
      </w:r>
      <w:r w:rsidRPr="005F7836">
        <w:rPr>
          <w:rFonts w:cs="Arial"/>
          <w:lang w:val="ru-RU"/>
        </w:rPr>
        <w:t>.</w:t>
      </w:r>
    </w:p>
    <w:p w14:paraId="0EE4CAC3" w14:textId="27B7BDB7" w:rsidR="00AC3C57" w:rsidRPr="005F7836" w:rsidRDefault="000D51BB" w:rsidP="00BD5A7E">
      <w:pPr>
        <w:pStyle w:val="CoDNormal"/>
        <w:rPr>
          <w:rFonts w:cs="Arial"/>
          <w:lang w:val="ru-RU"/>
        </w:rPr>
      </w:pPr>
      <w:r w:rsidRPr="005F7836">
        <w:rPr>
          <w:rFonts w:cs="Arial"/>
          <w:lang w:val="ru-RU"/>
        </w:rPr>
        <w:t>Организации исполь</w:t>
      </w:r>
      <w:r w:rsidR="00D24345" w:rsidRPr="005F7836">
        <w:rPr>
          <w:rFonts w:cs="Arial"/>
          <w:lang w:val="ru-RU"/>
        </w:rPr>
        <w:t>зуют весь спектр различны</w:t>
      </w:r>
      <w:r w:rsidR="002404C7" w:rsidRPr="005F7836">
        <w:rPr>
          <w:rFonts w:cs="Arial"/>
          <w:lang w:val="ru-RU"/>
        </w:rPr>
        <w:t>х</w:t>
      </w:r>
      <w:r w:rsidRPr="005F7836">
        <w:rPr>
          <w:rFonts w:cs="Arial"/>
          <w:lang w:val="ru-RU"/>
        </w:rPr>
        <w:t xml:space="preserve"> инвестиционных механизмов или фондо</w:t>
      </w:r>
      <w:r w:rsidR="00D24345" w:rsidRPr="005F7836">
        <w:rPr>
          <w:rFonts w:cs="Arial"/>
          <w:lang w:val="ru-RU"/>
        </w:rPr>
        <w:t>в, таких как выделение части централизованного</w:t>
      </w:r>
      <w:r w:rsidRPr="005F7836">
        <w:rPr>
          <w:rFonts w:cs="Arial"/>
          <w:lang w:val="ru-RU"/>
        </w:rPr>
        <w:t xml:space="preserve"> бюджета на инвестиции или </w:t>
      </w:r>
      <w:r w:rsidR="00F511B1" w:rsidRPr="005F7836">
        <w:rPr>
          <w:rFonts w:cs="Arial"/>
          <w:lang w:val="ru-RU"/>
        </w:rPr>
        <w:t xml:space="preserve">– </w:t>
      </w:r>
      <w:r w:rsidR="00D24345" w:rsidRPr="005F7836">
        <w:rPr>
          <w:rFonts w:cs="Arial"/>
          <w:lang w:val="ru-RU"/>
        </w:rPr>
        <w:t>для тех организаций, которые обладают прочным</w:t>
      </w:r>
      <w:r w:rsidRPr="005F7836">
        <w:rPr>
          <w:rFonts w:cs="Arial"/>
          <w:lang w:val="ru-RU"/>
        </w:rPr>
        <w:t xml:space="preserve"> финансовым положением </w:t>
      </w:r>
      <w:r w:rsidR="00F511B1" w:rsidRPr="005F7836">
        <w:rPr>
          <w:rFonts w:cs="Arial"/>
          <w:lang w:val="ru-RU"/>
        </w:rPr>
        <w:t xml:space="preserve">– </w:t>
      </w:r>
      <w:r w:rsidRPr="005F7836">
        <w:rPr>
          <w:rFonts w:cs="Arial"/>
          <w:lang w:val="ru-RU"/>
        </w:rPr>
        <w:t xml:space="preserve">на </w:t>
      </w:r>
      <w:r w:rsidR="00D24345" w:rsidRPr="005F7836">
        <w:rPr>
          <w:rFonts w:cs="Arial"/>
          <w:lang w:val="ru-RU"/>
        </w:rPr>
        <w:t>поддержку</w:t>
      </w:r>
      <w:r w:rsidRPr="005F7836">
        <w:rPr>
          <w:rFonts w:cs="Arial"/>
          <w:lang w:val="ru-RU"/>
        </w:rPr>
        <w:t xml:space="preserve"> </w:t>
      </w:r>
      <w:r w:rsidR="00D24345" w:rsidRPr="005F7836">
        <w:rPr>
          <w:rFonts w:cs="Arial"/>
          <w:lang w:val="ru-RU"/>
        </w:rPr>
        <w:t>других</w:t>
      </w:r>
      <w:r w:rsidRPr="005F7836">
        <w:rPr>
          <w:rFonts w:cs="Arial"/>
          <w:lang w:val="ru-RU"/>
        </w:rPr>
        <w:t xml:space="preserve"> </w:t>
      </w:r>
      <w:r w:rsidR="00D24345" w:rsidRPr="005F7836">
        <w:rPr>
          <w:rFonts w:cs="Arial"/>
          <w:lang w:val="ru-RU"/>
        </w:rPr>
        <w:t>организаций</w:t>
      </w:r>
      <w:r w:rsidRPr="005F7836">
        <w:rPr>
          <w:rFonts w:cs="Arial"/>
          <w:lang w:val="ru-RU"/>
        </w:rPr>
        <w:t xml:space="preserve"> в своей стране с потенциа</w:t>
      </w:r>
      <w:r w:rsidR="00D24345" w:rsidRPr="005F7836">
        <w:rPr>
          <w:rFonts w:cs="Arial"/>
          <w:lang w:val="ru-RU"/>
        </w:rPr>
        <w:t>лом роста либо через центральные</w:t>
      </w:r>
      <w:r w:rsidRPr="005F7836">
        <w:rPr>
          <w:rFonts w:cs="Arial"/>
          <w:lang w:val="ru-RU"/>
        </w:rPr>
        <w:t xml:space="preserve"> орган</w:t>
      </w:r>
      <w:r w:rsidR="00D24345" w:rsidRPr="005F7836">
        <w:rPr>
          <w:rFonts w:cs="Arial"/>
          <w:lang w:val="ru-RU"/>
        </w:rPr>
        <w:t>ы</w:t>
      </w:r>
      <w:r w:rsidRPr="005F7836">
        <w:rPr>
          <w:rFonts w:cs="Arial"/>
          <w:lang w:val="ru-RU"/>
        </w:rPr>
        <w:t>, либо на двусторонней основе</w:t>
      </w:r>
      <w:r w:rsidR="003D1666" w:rsidRPr="005F7836">
        <w:rPr>
          <w:rFonts w:cs="Arial"/>
          <w:lang w:val="ru-RU"/>
        </w:rPr>
        <w:t>.</w:t>
      </w:r>
    </w:p>
    <w:p w14:paraId="0F42499D" w14:textId="5971E923" w:rsidR="000D51BB" w:rsidRPr="005F7836" w:rsidRDefault="00D24345" w:rsidP="00BD5A7E">
      <w:pPr>
        <w:pStyle w:val="CoDNormal"/>
        <w:rPr>
          <w:rFonts w:cs="Arial"/>
          <w:lang w:val="ru-RU"/>
        </w:rPr>
      </w:pPr>
      <w:r w:rsidRPr="005F7836">
        <w:rPr>
          <w:rFonts w:cs="Arial"/>
          <w:lang w:val="ru-RU"/>
        </w:rPr>
        <w:t>Управление инвестиционным</w:t>
      </w:r>
      <w:r w:rsidR="000D51BB" w:rsidRPr="005F7836">
        <w:rPr>
          <w:rFonts w:cs="Arial"/>
          <w:lang w:val="ru-RU"/>
        </w:rPr>
        <w:t xml:space="preserve"> портфелем и </w:t>
      </w:r>
      <w:r w:rsidRPr="005F7836">
        <w:rPr>
          <w:rFonts w:cs="Arial"/>
          <w:lang w:val="ru-RU"/>
        </w:rPr>
        <w:t>координация</w:t>
      </w:r>
      <w:r w:rsidR="000D51BB" w:rsidRPr="005F7836">
        <w:rPr>
          <w:rFonts w:cs="Arial"/>
          <w:lang w:val="ru-RU"/>
        </w:rPr>
        <w:t xml:space="preserve"> </w:t>
      </w:r>
      <w:r w:rsidRPr="005F7836">
        <w:rPr>
          <w:rFonts w:cs="Arial"/>
          <w:lang w:val="ru-RU"/>
        </w:rPr>
        <w:t xml:space="preserve">решений по привлечению средств или инвестициям на </w:t>
      </w:r>
      <w:r w:rsidR="000D51BB" w:rsidRPr="005F7836">
        <w:rPr>
          <w:rFonts w:cs="Arial"/>
          <w:lang w:val="ru-RU"/>
        </w:rPr>
        <w:t>междунаро</w:t>
      </w:r>
      <w:r w:rsidRPr="005F7836">
        <w:rPr>
          <w:rFonts w:cs="Arial"/>
          <w:lang w:val="ru-RU"/>
        </w:rPr>
        <w:t>дном уровне позволяют обеспечить более стратегический</w:t>
      </w:r>
      <w:r w:rsidR="000D51BB" w:rsidRPr="005F7836">
        <w:rPr>
          <w:rFonts w:cs="Arial"/>
          <w:lang w:val="ru-RU"/>
        </w:rPr>
        <w:t xml:space="preserve"> и таргетир</w:t>
      </w:r>
      <w:r w:rsidRPr="005F7836">
        <w:rPr>
          <w:rFonts w:cs="Arial"/>
          <w:lang w:val="ru-RU"/>
        </w:rPr>
        <w:t>ованный рост</w:t>
      </w:r>
      <w:r w:rsidR="000D51BB" w:rsidRPr="005F7836">
        <w:rPr>
          <w:rFonts w:cs="Arial"/>
          <w:lang w:val="ru-RU"/>
        </w:rPr>
        <w:t xml:space="preserve">. </w:t>
      </w:r>
      <w:r w:rsidR="008D27CC" w:rsidRPr="005F7836">
        <w:rPr>
          <w:rFonts w:cs="Arial"/>
          <w:lang w:val="ru-RU"/>
        </w:rPr>
        <w:t>К числу организаций</w:t>
      </w:r>
      <w:r w:rsidR="000D51BB" w:rsidRPr="005F7836">
        <w:rPr>
          <w:rFonts w:cs="Arial"/>
          <w:lang w:val="ru-RU"/>
        </w:rPr>
        <w:t xml:space="preserve">, </w:t>
      </w:r>
      <w:r w:rsidR="001863D5" w:rsidRPr="005F7836">
        <w:rPr>
          <w:rFonts w:cs="Arial"/>
          <w:lang w:val="ru-RU"/>
        </w:rPr>
        <w:t>достигающих</w:t>
      </w:r>
      <w:r w:rsidRPr="005F7836">
        <w:rPr>
          <w:rFonts w:cs="Arial"/>
          <w:lang w:val="ru-RU"/>
        </w:rPr>
        <w:t xml:space="preserve"> значительного</w:t>
      </w:r>
      <w:r w:rsidR="000D51BB" w:rsidRPr="005F7836">
        <w:rPr>
          <w:rFonts w:cs="Arial"/>
          <w:lang w:val="ru-RU"/>
        </w:rPr>
        <w:t xml:space="preserve"> уровня роста</w:t>
      </w:r>
      <w:r w:rsidR="008D27CC" w:rsidRPr="005F7836">
        <w:rPr>
          <w:rFonts w:cs="Arial"/>
          <w:lang w:val="ru-RU"/>
        </w:rPr>
        <w:t xml:space="preserve"> и способных</w:t>
      </w:r>
      <w:r w:rsidRPr="005F7836">
        <w:rPr>
          <w:rFonts w:cs="Arial"/>
          <w:lang w:val="ru-RU"/>
        </w:rPr>
        <w:t xml:space="preserve"> обеспечить высокие дивиденды</w:t>
      </w:r>
      <w:r w:rsidR="008D27CC" w:rsidRPr="005F7836">
        <w:rPr>
          <w:rFonts w:cs="Arial"/>
          <w:lang w:val="ru-RU"/>
        </w:rPr>
        <w:t xml:space="preserve">, </w:t>
      </w:r>
      <w:r w:rsidR="000D51BB" w:rsidRPr="005F7836">
        <w:rPr>
          <w:rFonts w:cs="Arial"/>
          <w:lang w:val="ru-RU"/>
        </w:rPr>
        <w:t>как правило</w:t>
      </w:r>
      <w:r w:rsidR="008D27CC" w:rsidRPr="005F7836">
        <w:rPr>
          <w:rFonts w:cs="Arial"/>
          <w:lang w:val="ru-RU"/>
        </w:rPr>
        <w:t>, принадлежат те,</w:t>
      </w:r>
      <w:r w:rsidR="000D51BB" w:rsidRPr="005F7836">
        <w:rPr>
          <w:rFonts w:cs="Arial"/>
          <w:lang w:val="ru-RU"/>
        </w:rPr>
        <w:t xml:space="preserve"> которые </w:t>
      </w:r>
      <w:r w:rsidR="008D27CC" w:rsidRPr="005F7836">
        <w:rPr>
          <w:rFonts w:cs="Arial"/>
          <w:lang w:val="ru-RU"/>
        </w:rPr>
        <w:t>уделяют приоритетное внимание инвестициям в странах с высоким потенциалом роста и высоким потенциалом обеспечивать прибыли</w:t>
      </w:r>
      <w:r w:rsidR="000D51BB" w:rsidRPr="005F7836">
        <w:rPr>
          <w:rFonts w:cs="Arial"/>
          <w:lang w:val="ru-RU"/>
        </w:rPr>
        <w:t>. Прибыли п</w:t>
      </w:r>
      <w:r w:rsidR="008D27CC" w:rsidRPr="005F7836">
        <w:rPr>
          <w:rFonts w:cs="Arial"/>
          <w:lang w:val="ru-RU"/>
        </w:rPr>
        <w:t xml:space="preserve">о инвестициям меньше, если </w:t>
      </w:r>
      <w:r w:rsidR="000D51BB" w:rsidRPr="005F7836">
        <w:rPr>
          <w:rFonts w:cs="Arial"/>
          <w:lang w:val="ru-RU"/>
        </w:rPr>
        <w:t xml:space="preserve">инвестиции </w:t>
      </w:r>
      <w:r w:rsidR="008D27CC" w:rsidRPr="005F7836">
        <w:rPr>
          <w:rFonts w:cs="Arial"/>
          <w:lang w:val="ru-RU"/>
        </w:rPr>
        <w:t xml:space="preserve">осуществляются </w:t>
      </w:r>
      <w:r w:rsidR="000D51BB" w:rsidRPr="005F7836">
        <w:rPr>
          <w:rFonts w:cs="Arial"/>
          <w:lang w:val="ru-RU"/>
        </w:rPr>
        <w:t>в странах, которые</w:t>
      </w:r>
      <w:r w:rsidR="008D27CC" w:rsidRPr="005F7836">
        <w:rPr>
          <w:rFonts w:cs="Arial"/>
          <w:lang w:val="ru-RU"/>
        </w:rPr>
        <w:t xml:space="preserve"> в</w:t>
      </w:r>
      <w:r w:rsidR="000D51BB" w:rsidRPr="005F7836">
        <w:rPr>
          <w:rFonts w:cs="Arial"/>
          <w:lang w:val="ru-RU"/>
        </w:rPr>
        <w:t xml:space="preserve"> сравнительно</w:t>
      </w:r>
      <w:r w:rsidR="008D27CC" w:rsidRPr="005F7836">
        <w:rPr>
          <w:rFonts w:cs="Arial"/>
          <w:lang w:val="ru-RU"/>
        </w:rPr>
        <w:t>й степени являются</w:t>
      </w:r>
      <w:r w:rsidR="000D51BB" w:rsidRPr="005F7836">
        <w:rPr>
          <w:rFonts w:cs="Arial"/>
          <w:lang w:val="ru-RU"/>
        </w:rPr>
        <w:t xml:space="preserve"> </w:t>
      </w:r>
      <w:r w:rsidR="008D27CC" w:rsidRPr="005F7836">
        <w:rPr>
          <w:rFonts w:cs="Arial"/>
          <w:lang w:val="ru-RU"/>
        </w:rPr>
        <w:t xml:space="preserve">экономически </w:t>
      </w:r>
      <w:r w:rsidR="000D51BB" w:rsidRPr="005F7836">
        <w:rPr>
          <w:rFonts w:cs="Arial"/>
          <w:lang w:val="ru-RU"/>
        </w:rPr>
        <w:t>н</w:t>
      </w:r>
      <w:r w:rsidR="008D27CC" w:rsidRPr="005F7836">
        <w:rPr>
          <w:rFonts w:cs="Arial"/>
          <w:lang w:val="ru-RU"/>
        </w:rPr>
        <w:t>е</w:t>
      </w:r>
      <w:r w:rsidR="000D51BB" w:rsidRPr="005F7836">
        <w:rPr>
          <w:rFonts w:cs="Arial"/>
          <w:lang w:val="ru-RU"/>
        </w:rPr>
        <w:t>развиты</w:t>
      </w:r>
      <w:r w:rsidR="008D27CC" w:rsidRPr="005F7836">
        <w:rPr>
          <w:rFonts w:cs="Arial"/>
          <w:lang w:val="ru-RU"/>
        </w:rPr>
        <w:t>ми</w:t>
      </w:r>
      <w:r w:rsidR="000D51BB" w:rsidRPr="005F7836">
        <w:rPr>
          <w:rFonts w:cs="Arial"/>
          <w:lang w:val="ru-RU"/>
        </w:rPr>
        <w:t xml:space="preserve"> или </w:t>
      </w:r>
      <w:r w:rsidR="008D27CC" w:rsidRPr="005F7836">
        <w:rPr>
          <w:rFonts w:cs="Arial"/>
          <w:lang w:val="ru-RU"/>
        </w:rPr>
        <w:t xml:space="preserve">в условиях, </w:t>
      </w:r>
      <w:r w:rsidR="000D51BB" w:rsidRPr="005F7836">
        <w:rPr>
          <w:rFonts w:cs="Arial"/>
          <w:lang w:val="ru-RU"/>
        </w:rPr>
        <w:t xml:space="preserve">когда идет построение организационного потенциала. </w:t>
      </w:r>
    </w:p>
    <w:p w14:paraId="332C0856" w14:textId="22132177" w:rsidR="000D51BB" w:rsidRPr="005F7836" w:rsidRDefault="00432809" w:rsidP="00BD5A7E">
      <w:pPr>
        <w:pStyle w:val="CoDNormal"/>
        <w:rPr>
          <w:rFonts w:cs="Arial"/>
          <w:lang w:val="ru-RU"/>
        </w:rPr>
      </w:pPr>
      <w:r w:rsidRPr="005F7836">
        <w:rPr>
          <w:rFonts w:cs="Arial"/>
          <w:lang w:val="ru-RU"/>
        </w:rPr>
        <w:t>Авторы исследования также пришли к выводу</w:t>
      </w:r>
      <w:r w:rsidR="000D51BB" w:rsidRPr="005F7836">
        <w:rPr>
          <w:rFonts w:cs="Arial"/>
          <w:lang w:val="ru-RU"/>
        </w:rPr>
        <w:t xml:space="preserve">, что некоторые из международных организаций и международных </w:t>
      </w:r>
      <w:r w:rsidRPr="005F7836">
        <w:rPr>
          <w:rFonts w:cs="Arial"/>
          <w:lang w:val="ru-RU"/>
        </w:rPr>
        <w:t>неправительственных организаций сократили свои расходы в рамках ряда операций, в то же время сохранив</w:t>
      </w:r>
      <w:r w:rsidR="000D51BB" w:rsidRPr="005F7836">
        <w:rPr>
          <w:rFonts w:cs="Arial"/>
          <w:lang w:val="ru-RU"/>
        </w:rPr>
        <w:t xml:space="preserve"> </w:t>
      </w:r>
      <w:r w:rsidRPr="005F7836">
        <w:rPr>
          <w:rFonts w:cs="Arial"/>
          <w:lang w:val="ru-RU"/>
        </w:rPr>
        <w:t>инвестиции</w:t>
      </w:r>
      <w:r w:rsidR="000D51BB" w:rsidRPr="005F7836">
        <w:rPr>
          <w:rFonts w:cs="Arial"/>
          <w:lang w:val="ru-RU"/>
        </w:rPr>
        <w:t xml:space="preserve"> в </w:t>
      </w:r>
      <w:r w:rsidRPr="005F7836">
        <w:rPr>
          <w:rFonts w:cs="Arial"/>
          <w:lang w:val="ru-RU"/>
        </w:rPr>
        <w:t xml:space="preserve">обеспечение </w:t>
      </w:r>
      <w:r w:rsidR="000D51BB" w:rsidRPr="005F7836">
        <w:rPr>
          <w:rFonts w:cs="Arial"/>
          <w:lang w:val="ru-RU"/>
        </w:rPr>
        <w:t>рост</w:t>
      </w:r>
      <w:r w:rsidRPr="005F7836">
        <w:rPr>
          <w:rFonts w:cs="Arial"/>
          <w:lang w:val="ru-RU"/>
        </w:rPr>
        <w:t>а доходов для защиты</w:t>
      </w:r>
      <w:r w:rsidR="000D51BB" w:rsidRPr="005F7836">
        <w:rPr>
          <w:rFonts w:cs="Arial"/>
          <w:lang w:val="ru-RU"/>
        </w:rPr>
        <w:t xml:space="preserve"> </w:t>
      </w:r>
      <w:r w:rsidRPr="005F7836">
        <w:rPr>
          <w:rFonts w:cs="Arial"/>
          <w:lang w:val="ru-RU"/>
        </w:rPr>
        <w:t>финансового здоровья своей</w:t>
      </w:r>
      <w:r w:rsidR="000D51BB" w:rsidRPr="005F7836">
        <w:rPr>
          <w:rFonts w:cs="Arial"/>
          <w:lang w:val="ru-RU"/>
        </w:rPr>
        <w:t xml:space="preserve"> организации</w:t>
      </w:r>
      <w:r w:rsidRPr="005F7836">
        <w:rPr>
          <w:rFonts w:cs="Arial"/>
          <w:lang w:val="ru-RU"/>
        </w:rPr>
        <w:t xml:space="preserve"> в будущем</w:t>
      </w:r>
      <w:r w:rsidR="000D51BB" w:rsidRPr="005F7836">
        <w:rPr>
          <w:rFonts w:cs="Arial"/>
          <w:lang w:val="ru-RU"/>
        </w:rPr>
        <w:t>.</w:t>
      </w:r>
    </w:p>
    <w:p w14:paraId="5F1D73A4" w14:textId="4CED28E9" w:rsidR="003D1666" w:rsidRPr="005F7836" w:rsidRDefault="000D51BB" w:rsidP="00BD5A7E">
      <w:pPr>
        <w:pStyle w:val="CoDNormal"/>
        <w:rPr>
          <w:rFonts w:cs="Arial"/>
          <w:lang w:val="ru-RU"/>
        </w:rPr>
      </w:pPr>
      <w:r w:rsidRPr="005F7836">
        <w:rPr>
          <w:rFonts w:cs="Arial"/>
          <w:lang w:val="ru-RU"/>
        </w:rPr>
        <w:lastRenderedPageBreak/>
        <w:t xml:space="preserve">Следующие международные </w:t>
      </w:r>
      <w:r w:rsidR="00432809" w:rsidRPr="005F7836">
        <w:rPr>
          <w:rFonts w:cs="Arial"/>
          <w:lang w:val="ru-RU"/>
        </w:rPr>
        <w:t>неправительственные</w:t>
      </w:r>
      <w:r w:rsidRPr="005F7836">
        <w:rPr>
          <w:rFonts w:cs="Arial"/>
          <w:lang w:val="ru-RU"/>
        </w:rPr>
        <w:t xml:space="preserve"> </w:t>
      </w:r>
      <w:r w:rsidR="00432809" w:rsidRPr="005F7836">
        <w:rPr>
          <w:rFonts w:cs="Arial"/>
          <w:lang w:val="ru-RU"/>
        </w:rPr>
        <w:t xml:space="preserve">организации активно осуществляют целевые рыночные инвестиции </w:t>
      </w:r>
      <w:r w:rsidRPr="005F7836">
        <w:rPr>
          <w:rFonts w:cs="Arial"/>
          <w:lang w:val="ru-RU"/>
        </w:rPr>
        <w:t>в</w:t>
      </w:r>
      <w:r w:rsidR="00432809" w:rsidRPr="005F7836">
        <w:rPr>
          <w:rFonts w:cs="Arial"/>
          <w:lang w:val="ru-RU"/>
        </w:rPr>
        <w:t xml:space="preserve"> целях увеличения о</w:t>
      </w:r>
      <w:r w:rsidR="001863D5" w:rsidRPr="005F7836">
        <w:rPr>
          <w:rFonts w:cs="Arial"/>
          <w:lang w:val="ru-RU"/>
        </w:rPr>
        <w:t>бъемов привлекаемых средств</w:t>
      </w:r>
      <w:r w:rsidRPr="005F7836">
        <w:rPr>
          <w:rFonts w:cs="Arial"/>
          <w:lang w:val="ru-RU"/>
        </w:rPr>
        <w:t xml:space="preserve">: УВКБ ООН, ЮНИСЕФ и </w:t>
      </w:r>
      <w:r w:rsidR="00432809" w:rsidRPr="005F7836">
        <w:rPr>
          <w:rFonts w:cs="Arial"/>
          <w:lang w:val="ru-RU"/>
        </w:rPr>
        <w:t>«</w:t>
      </w:r>
      <w:r w:rsidRPr="005F7836">
        <w:rPr>
          <w:rFonts w:cs="Arial"/>
          <w:lang w:val="ru-RU"/>
        </w:rPr>
        <w:t>Спасем детей</w:t>
      </w:r>
      <w:r w:rsidR="00432809" w:rsidRPr="005F7836">
        <w:rPr>
          <w:rFonts w:cs="Arial"/>
          <w:lang w:val="ru-RU"/>
        </w:rPr>
        <w:t>»</w:t>
      </w:r>
      <w:r w:rsidRPr="005F7836">
        <w:rPr>
          <w:rFonts w:cs="Arial"/>
          <w:lang w:val="ru-RU"/>
        </w:rPr>
        <w:t xml:space="preserve">. </w:t>
      </w:r>
      <w:r w:rsidR="00432809" w:rsidRPr="005F7836">
        <w:rPr>
          <w:rFonts w:cs="Arial"/>
          <w:lang w:val="ru-RU"/>
        </w:rPr>
        <w:t>Организация «Спа</w:t>
      </w:r>
      <w:r w:rsidRPr="005F7836">
        <w:rPr>
          <w:rFonts w:cs="Arial"/>
          <w:lang w:val="ru-RU"/>
        </w:rPr>
        <w:t>сем детей</w:t>
      </w:r>
      <w:r w:rsidR="00432809" w:rsidRPr="005F7836">
        <w:rPr>
          <w:rFonts w:cs="Arial"/>
          <w:lang w:val="ru-RU"/>
        </w:rPr>
        <w:t>»</w:t>
      </w:r>
      <w:r w:rsidRPr="005F7836">
        <w:rPr>
          <w:rFonts w:cs="Arial"/>
          <w:lang w:val="ru-RU"/>
        </w:rPr>
        <w:t xml:space="preserve"> также координирует работу площадки по привлечению средств, в то время как </w:t>
      </w:r>
      <w:r w:rsidR="003D1666" w:rsidRPr="005F7836">
        <w:rPr>
          <w:rFonts w:cs="Arial"/>
          <w:i/>
          <w:lang w:val="ru-RU"/>
        </w:rPr>
        <w:t>Amnesty International</w:t>
      </w:r>
      <w:r w:rsidR="003D1666" w:rsidRPr="005F7836">
        <w:rPr>
          <w:rFonts w:cs="Arial"/>
          <w:lang w:val="ru-RU"/>
        </w:rPr>
        <w:t xml:space="preserve">, </w:t>
      </w:r>
      <w:r w:rsidR="003D1666" w:rsidRPr="005F7836">
        <w:rPr>
          <w:rFonts w:cs="Arial"/>
          <w:i/>
          <w:lang w:val="ru-RU"/>
        </w:rPr>
        <w:t>MSF</w:t>
      </w:r>
      <w:r w:rsidRPr="005F7836">
        <w:rPr>
          <w:rFonts w:cs="Arial"/>
          <w:lang w:val="ru-RU"/>
        </w:rPr>
        <w:t xml:space="preserve"> и ЮНИСЕФ </w:t>
      </w:r>
      <w:r w:rsidR="00F64117" w:rsidRPr="005F7836">
        <w:rPr>
          <w:rFonts w:cs="Arial"/>
          <w:lang w:val="ru-RU"/>
        </w:rPr>
        <w:t>имеют в своем штате квалифицированных сотрудников, занимающих</w:t>
      </w:r>
      <w:r w:rsidR="00AE6B51" w:rsidRPr="005F7836">
        <w:rPr>
          <w:rFonts w:cs="Arial"/>
          <w:lang w:val="ru-RU"/>
        </w:rPr>
        <w:t>ся вопросами глобального развития усилий по привлечению средств</w:t>
      </w:r>
      <w:r w:rsidR="003D1666" w:rsidRPr="005F7836">
        <w:rPr>
          <w:rFonts w:cs="Arial"/>
          <w:lang w:val="ru-RU"/>
        </w:rPr>
        <w:t>.</w:t>
      </w:r>
    </w:p>
    <w:p w14:paraId="410B89F6" w14:textId="3BF891EA" w:rsidR="00F4326B" w:rsidRPr="005F7836" w:rsidRDefault="00717F89" w:rsidP="00BD5A7E">
      <w:pPr>
        <w:pStyle w:val="CoDNormal"/>
        <w:rPr>
          <w:rFonts w:cs="Arial"/>
          <w:lang w:val="ru-RU"/>
        </w:rPr>
      </w:pPr>
      <w:r w:rsidRPr="005F7836">
        <w:rPr>
          <w:rFonts w:cs="Arial"/>
          <w:noProof/>
          <w:lang w:val="ru-RU" w:eastAsia="ru-RU"/>
        </w:rPr>
        <w:drawing>
          <wp:anchor distT="0" distB="0" distL="114300" distR="114300" simplePos="0" relativeHeight="251658240" behindDoc="0" locked="0" layoutInCell="1" allowOverlap="1" wp14:anchorId="552DD341" wp14:editId="312BDDE2">
            <wp:simplePos x="0" y="0"/>
            <wp:positionH relativeFrom="column">
              <wp:posOffset>-9525</wp:posOffset>
            </wp:positionH>
            <wp:positionV relativeFrom="paragraph">
              <wp:posOffset>730885</wp:posOffset>
            </wp:positionV>
            <wp:extent cx="4714875" cy="2305050"/>
            <wp:effectExtent l="0" t="0" r="9525" b="0"/>
            <wp:wrapTopAndBottom/>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F64117" w:rsidRPr="005F7836">
        <w:rPr>
          <w:rFonts w:cs="Arial"/>
          <w:lang w:val="ru-RU"/>
        </w:rPr>
        <w:t>В рамках опроса национальны</w:t>
      </w:r>
      <w:r w:rsidR="00144E31" w:rsidRPr="005F7836">
        <w:rPr>
          <w:rFonts w:cs="Arial"/>
          <w:lang w:val="ru-RU"/>
        </w:rPr>
        <w:t>м</w:t>
      </w:r>
      <w:r w:rsidR="00F64117" w:rsidRPr="005F7836">
        <w:rPr>
          <w:rFonts w:cs="Arial"/>
          <w:lang w:val="ru-RU"/>
        </w:rPr>
        <w:t xml:space="preserve"> обществам был</w:t>
      </w:r>
      <w:r w:rsidR="00144E31" w:rsidRPr="005F7836">
        <w:rPr>
          <w:rFonts w:cs="Arial"/>
          <w:lang w:val="ru-RU"/>
        </w:rPr>
        <w:t xml:space="preserve"> задан вопрос</w:t>
      </w:r>
      <w:r w:rsidR="00CF4D8A" w:rsidRPr="005F7836">
        <w:rPr>
          <w:rFonts w:cs="Arial"/>
          <w:lang w:val="ru-RU"/>
        </w:rPr>
        <w:t xml:space="preserve">, будут ли они заинтересованы в получении финансовых </w:t>
      </w:r>
      <w:r w:rsidR="00144E31" w:rsidRPr="005F7836">
        <w:rPr>
          <w:rFonts w:cs="Arial"/>
          <w:lang w:val="ru-RU"/>
        </w:rPr>
        <w:t>инвестиций</w:t>
      </w:r>
      <w:r w:rsidR="00CF4D8A" w:rsidRPr="005F7836">
        <w:rPr>
          <w:rFonts w:cs="Arial"/>
          <w:lang w:val="ru-RU"/>
        </w:rPr>
        <w:t xml:space="preserve"> для развития с</w:t>
      </w:r>
      <w:r w:rsidR="008E4345" w:rsidRPr="005F7836">
        <w:rPr>
          <w:rFonts w:cs="Arial"/>
          <w:lang w:val="ru-RU"/>
        </w:rPr>
        <w:t>воей деятельности по привлечению</w:t>
      </w:r>
      <w:r w:rsidR="00CF4D8A" w:rsidRPr="005F7836">
        <w:rPr>
          <w:rFonts w:cs="Arial"/>
          <w:lang w:val="ru-RU"/>
        </w:rPr>
        <w:t xml:space="preserve"> средств. </w:t>
      </w:r>
      <w:r w:rsidR="00144E31" w:rsidRPr="005F7836">
        <w:rPr>
          <w:rFonts w:cs="Arial"/>
          <w:lang w:val="ru-RU"/>
        </w:rPr>
        <w:t>Как видно из диаграммы, большинство подтвердили свою заинтересованность</w:t>
      </w:r>
      <w:r w:rsidR="00CF4D8A" w:rsidRPr="005F7836">
        <w:rPr>
          <w:rFonts w:cs="Arial"/>
          <w:lang w:val="ru-RU"/>
        </w:rPr>
        <w:t xml:space="preserve"> </w:t>
      </w:r>
      <w:r w:rsidR="00F4326B" w:rsidRPr="005F7836">
        <w:rPr>
          <w:rFonts w:cs="Arial"/>
          <w:lang w:val="ru-RU"/>
        </w:rPr>
        <w:t>(81%</w:t>
      </w:r>
      <w:r w:rsidR="000E7C6A" w:rsidRPr="005F7836">
        <w:rPr>
          <w:rFonts w:cs="Arial"/>
          <w:lang w:val="ru-RU"/>
        </w:rPr>
        <w:t xml:space="preserve"> </w:t>
      </w:r>
      <w:r w:rsidR="00CF4D8A" w:rsidRPr="005F7836">
        <w:rPr>
          <w:rFonts w:cs="Arial"/>
          <w:lang w:val="ru-RU"/>
        </w:rPr>
        <w:t>или</w:t>
      </w:r>
      <w:r w:rsidR="00472E79" w:rsidRPr="005F7836">
        <w:rPr>
          <w:rFonts w:cs="Arial"/>
          <w:lang w:val="ru-RU"/>
        </w:rPr>
        <w:t xml:space="preserve"> </w:t>
      </w:r>
      <w:r w:rsidR="00F4326B" w:rsidRPr="005F7836">
        <w:rPr>
          <w:rFonts w:cs="Arial"/>
          <w:lang w:val="ru-RU"/>
        </w:rPr>
        <w:t>75</w:t>
      </w:r>
      <w:r w:rsidR="000E7C6A" w:rsidRPr="005F7836">
        <w:rPr>
          <w:rFonts w:cs="Arial"/>
          <w:lang w:val="ru-RU"/>
        </w:rPr>
        <w:t xml:space="preserve"> </w:t>
      </w:r>
      <w:r w:rsidR="00144E31" w:rsidRPr="005F7836">
        <w:rPr>
          <w:rFonts w:cs="Arial"/>
          <w:lang w:val="ru-RU"/>
        </w:rPr>
        <w:t>национальных обществ)</w:t>
      </w:r>
      <w:r w:rsidR="00F4326B" w:rsidRPr="005F7836">
        <w:rPr>
          <w:rFonts w:cs="Arial"/>
          <w:lang w:val="ru-RU"/>
        </w:rPr>
        <w:t>.</w:t>
      </w:r>
    </w:p>
    <w:p w14:paraId="274A96B7" w14:textId="43B91388" w:rsidR="00DB67BC" w:rsidRPr="005F7836" w:rsidRDefault="00CF4D8A" w:rsidP="00CF6EA7">
      <w:pPr>
        <w:pStyle w:val="CoDHeading1"/>
        <w:numPr>
          <w:ilvl w:val="0"/>
          <w:numId w:val="23"/>
        </w:numPr>
        <w:rPr>
          <w:rFonts w:cs="Arial"/>
          <w:sz w:val="22"/>
          <w:lang w:val="ru-RU"/>
        </w:rPr>
      </w:pPr>
      <w:r w:rsidRPr="005F7836">
        <w:rPr>
          <w:rFonts w:cs="Arial"/>
          <w:sz w:val="22"/>
          <w:lang w:val="ru-RU"/>
        </w:rPr>
        <w:t>ЗАКЛЮЧИТЕЛЬНЫЕ ПОЛОЖЕНИЯ И РЕКОМЕНДАЦИИ</w:t>
      </w:r>
    </w:p>
    <w:p w14:paraId="3D08D738" w14:textId="31340B4D" w:rsidR="00BF09B5" w:rsidRPr="005F7836" w:rsidRDefault="008E4345" w:rsidP="00CF6EA7">
      <w:pPr>
        <w:pStyle w:val="CoDNormal"/>
        <w:rPr>
          <w:rFonts w:cs="Arial"/>
          <w:lang w:val="ru-RU"/>
        </w:rPr>
      </w:pPr>
      <w:r w:rsidRPr="005F7836">
        <w:rPr>
          <w:rFonts w:cs="Arial"/>
          <w:lang w:val="ru-RU"/>
        </w:rPr>
        <w:t>Исходя из успешного опыта реализации</w:t>
      </w:r>
      <w:r w:rsidR="00CF4D8A" w:rsidRPr="005F7836">
        <w:rPr>
          <w:rFonts w:cs="Arial"/>
          <w:lang w:val="ru-RU"/>
        </w:rPr>
        <w:t xml:space="preserve"> стратегии МФ</w:t>
      </w:r>
      <w:r w:rsidRPr="005F7836">
        <w:rPr>
          <w:rFonts w:cs="Arial"/>
          <w:lang w:val="ru-RU"/>
        </w:rPr>
        <w:t>ОККиКП по мобилизации ресурсов, а также идей, которые легли в основу  Инициативы</w:t>
      </w:r>
      <w:r w:rsidR="00CF4D8A" w:rsidRPr="005F7836">
        <w:rPr>
          <w:rFonts w:cs="Arial"/>
          <w:lang w:val="ru-RU"/>
        </w:rPr>
        <w:t xml:space="preserve"> Движения </w:t>
      </w:r>
      <w:r w:rsidRPr="005F7836">
        <w:rPr>
          <w:rFonts w:cs="Arial"/>
          <w:lang w:val="ru-RU"/>
        </w:rPr>
        <w:t>по укреплению имиджа, была организована широкая</w:t>
      </w:r>
      <w:r w:rsidR="00CF4D8A" w:rsidRPr="005F7836">
        <w:rPr>
          <w:rFonts w:cs="Arial"/>
          <w:lang w:val="ru-RU"/>
        </w:rPr>
        <w:t xml:space="preserve"> </w:t>
      </w:r>
      <w:r w:rsidRPr="005F7836">
        <w:rPr>
          <w:rFonts w:cs="Arial"/>
          <w:lang w:val="ru-RU"/>
        </w:rPr>
        <w:t>дискуссия</w:t>
      </w:r>
      <w:r w:rsidR="00CF4D8A" w:rsidRPr="005F7836">
        <w:rPr>
          <w:rFonts w:cs="Arial"/>
          <w:lang w:val="ru-RU"/>
        </w:rPr>
        <w:t xml:space="preserve"> для изучения </w:t>
      </w:r>
      <w:r w:rsidRPr="005F7836">
        <w:rPr>
          <w:rFonts w:cs="Arial"/>
          <w:lang w:val="ru-RU"/>
        </w:rPr>
        <w:t>ситуации</w:t>
      </w:r>
      <w:r w:rsidR="00CF4D8A" w:rsidRPr="005F7836">
        <w:rPr>
          <w:rFonts w:cs="Arial"/>
          <w:lang w:val="ru-RU"/>
        </w:rPr>
        <w:t xml:space="preserve"> и согласования концепции, целей и принципов мобилизации ресурсов, разработанных в целях оказания помощи всем </w:t>
      </w:r>
      <w:r w:rsidRPr="005F7836">
        <w:rPr>
          <w:rFonts w:cs="Arial"/>
          <w:lang w:val="ru-RU"/>
        </w:rPr>
        <w:t xml:space="preserve">участникам Движения в привлечении средств, которые </w:t>
      </w:r>
      <w:r w:rsidR="00CF4D8A" w:rsidRPr="005F7836">
        <w:rPr>
          <w:rFonts w:cs="Arial"/>
          <w:lang w:val="ru-RU"/>
        </w:rPr>
        <w:t xml:space="preserve">необходимы </w:t>
      </w:r>
      <w:r w:rsidRPr="005F7836">
        <w:rPr>
          <w:rFonts w:cs="Arial"/>
          <w:lang w:val="ru-RU"/>
        </w:rPr>
        <w:t xml:space="preserve">им для выполнения своей роли и </w:t>
      </w:r>
      <w:r w:rsidR="00CF4D8A" w:rsidRPr="005F7836">
        <w:rPr>
          <w:rFonts w:cs="Arial"/>
          <w:lang w:val="ru-RU"/>
        </w:rPr>
        <w:t xml:space="preserve">обязанностей в </w:t>
      </w:r>
      <w:r w:rsidRPr="005F7836">
        <w:rPr>
          <w:rFonts w:cs="Arial"/>
          <w:lang w:val="ru-RU"/>
        </w:rPr>
        <w:t>соответствии</w:t>
      </w:r>
      <w:r w:rsidR="00CF4D8A" w:rsidRPr="005F7836">
        <w:rPr>
          <w:rFonts w:cs="Arial"/>
          <w:lang w:val="ru-RU"/>
        </w:rPr>
        <w:t xml:space="preserve"> с индивидуальными </w:t>
      </w:r>
      <w:r w:rsidRPr="005F7836">
        <w:rPr>
          <w:rFonts w:cs="Arial"/>
          <w:lang w:val="ru-RU"/>
        </w:rPr>
        <w:t>мандатами</w:t>
      </w:r>
      <w:r w:rsidR="00CF4D8A" w:rsidRPr="005F7836">
        <w:rPr>
          <w:rFonts w:cs="Arial"/>
          <w:lang w:val="ru-RU"/>
        </w:rPr>
        <w:t xml:space="preserve"> и миссией Движения, в целом.</w:t>
      </w:r>
    </w:p>
    <w:p w14:paraId="2C50D517" w14:textId="78D4EF8F" w:rsidR="00CF4D8A" w:rsidRPr="005F7836" w:rsidRDefault="00CF4D8A" w:rsidP="00CF6EA7">
      <w:pPr>
        <w:pStyle w:val="CoDNormal"/>
        <w:rPr>
          <w:rFonts w:cs="Arial"/>
          <w:lang w:val="ru-RU"/>
        </w:rPr>
      </w:pPr>
      <w:r w:rsidRPr="005F7836">
        <w:rPr>
          <w:rFonts w:cs="Arial"/>
          <w:lang w:val="ru-RU"/>
        </w:rPr>
        <w:t>В р</w:t>
      </w:r>
      <w:r w:rsidR="008E4345" w:rsidRPr="005F7836">
        <w:rPr>
          <w:rFonts w:cs="Arial"/>
          <w:lang w:val="ru-RU"/>
        </w:rPr>
        <w:t>амках</w:t>
      </w:r>
      <w:r w:rsidR="004666EB" w:rsidRPr="005F7836">
        <w:rPr>
          <w:rFonts w:cs="Arial"/>
          <w:lang w:val="ru-RU"/>
        </w:rPr>
        <w:t xml:space="preserve"> данного процесса стало очевидным</w:t>
      </w:r>
      <w:r w:rsidR="008E4345" w:rsidRPr="005F7836">
        <w:rPr>
          <w:rFonts w:cs="Arial"/>
          <w:lang w:val="ru-RU"/>
        </w:rPr>
        <w:t>, что одной лишь</w:t>
      </w:r>
      <w:r w:rsidRPr="005F7836">
        <w:rPr>
          <w:rFonts w:cs="Arial"/>
          <w:lang w:val="ru-RU"/>
        </w:rPr>
        <w:t xml:space="preserve"> концепции и принципов </w:t>
      </w:r>
      <w:r w:rsidR="008E4345" w:rsidRPr="005F7836">
        <w:rPr>
          <w:rFonts w:cs="Arial"/>
          <w:lang w:val="ru-RU"/>
        </w:rPr>
        <w:t>недостаточно</w:t>
      </w:r>
      <w:r w:rsidRPr="005F7836">
        <w:rPr>
          <w:rFonts w:cs="Arial"/>
          <w:lang w:val="ru-RU"/>
        </w:rPr>
        <w:t xml:space="preserve"> для </w:t>
      </w:r>
      <w:r w:rsidR="008E4345" w:rsidRPr="005F7836">
        <w:rPr>
          <w:rFonts w:cs="Arial"/>
          <w:lang w:val="ru-RU"/>
        </w:rPr>
        <w:t>трансформации</w:t>
      </w:r>
      <w:r w:rsidRPr="005F7836">
        <w:rPr>
          <w:rFonts w:cs="Arial"/>
          <w:lang w:val="ru-RU"/>
        </w:rPr>
        <w:t xml:space="preserve"> системы </w:t>
      </w:r>
      <w:r w:rsidR="008E4345" w:rsidRPr="005F7836">
        <w:rPr>
          <w:rFonts w:cs="Arial"/>
          <w:lang w:val="ru-RU"/>
        </w:rPr>
        <w:t>привлечения</w:t>
      </w:r>
      <w:r w:rsidRPr="005F7836">
        <w:rPr>
          <w:rFonts w:cs="Arial"/>
          <w:lang w:val="ru-RU"/>
        </w:rPr>
        <w:t xml:space="preserve"> средств в </w:t>
      </w:r>
      <w:r w:rsidR="008E4345" w:rsidRPr="005F7836">
        <w:rPr>
          <w:rFonts w:cs="Arial"/>
          <w:lang w:val="ru-RU"/>
        </w:rPr>
        <w:t>масштабах</w:t>
      </w:r>
      <w:r w:rsidRPr="005F7836">
        <w:rPr>
          <w:rFonts w:cs="Arial"/>
          <w:lang w:val="ru-RU"/>
        </w:rPr>
        <w:t xml:space="preserve"> </w:t>
      </w:r>
      <w:r w:rsidR="008E4345" w:rsidRPr="005F7836">
        <w:rPr>
          <w:rFonts w:cs="Arial"/>
          <w:lang w:val="ru-RU"/>
        </w:rPr>
        <w:t>Движения</w:t>
      </w:r>
      <w:r w:rsidRPr="005F7836">
        <w:rPr>
          <w:rFonts w:cs="Arial"/>
          <w:lang w:val="ru-RU"/>
        </w:rPr>
        <w:t>. Изучив и проанализировав т</w:t>
      </w:r>
      <w:r w:rsidR="008E4345" w:rsidRPr="005F7836">
        <w:rPr>
          <w:rFonts w:cs="Arial"/>
          <w:lang w:val="ru-RU"/>
        </w:rPr>
        <w:t>е</w:t>
      </w:r>
      <w:r w:rsidRPr="005F7836">
        <w:rPr>
          <w:rFonts w:cs="Arial"/>
          <w:lang w:val="ru-RU"/>
        </w:rPr>
        <w:t xml:space="preserve">матические данные, а также выслушав мнение тех, кто </w:t>
      </w:r>
      <w:r w:rsidR="004D0A46" w:rsidRPr="005F7836">
        <w:rPr>
          <w:rFonts w:cs="Arial"/>
          <w:lang w:val="ru-RU"/>
        </w:rPr>
        <w:t xml:space="preserve">ежедневно </w:t>
      </w:r>
      <w:r w:rsidRPr="005F7836">
        <w:rPr>
          <w:rFonts w:cs="Arial"/>
          <w:lang w:val="ru-RU"/>
        </w:rPr>
        <w:t xml:space="preserve">занимается вопросами привлечения средств в масштабах Движения, </w:t>
      </w:r>
      <w:r w:rsidR="008E4345" w:rsidRPr="005F7836">
        <w:rPr>
          <w:rFonts w:cs="Arial"/>
          <w:lang w:val="ru-RU"/>
        </w:rPr>
        <w:t>мы пришли к пониманию, что наша приоритетная задача заключается в том, чтобы  оценить свой потенциал, сильные стороны и возможности</w:t>
      </w:r>
      <w:r w:rsidR="004D0A46" w:rsidRPr="005F7836">
        <w:rPr>
          <w:rFonts w:cs="Arial"/>
          <w:lang w:val="ru-RU"/>
        </w:rPr>
        <w:t xml:space="preserve"> для роста и затем</w:t>
      </w:r>
      <w:r w:rsidR="008E4345" w:rsidRPr="005F7836">
        <w:rPr>
          <w:rFonts w:cs="Arial"/>
          <w:lang w:val="ru-RU"/>
        </w:rPr>
        <w:t xml:space="preserve"> осуществить инвестиции</w:t>
      </w:r>
      <w:r w:rsidR="004D0A46" w:rsidRPr="005F7836">
        <w:rPr>
          <w:rFonts w:cs="Arial"/>
          <w:lang w:val="ru-RU"/>
        </w:rPr>
        <w:t xml:space="preserve"> в развитие</w:t>
      </w:r>
      <w:r w:rsidR="008E4345" w:rsidRPr="005F7836">
        <w:rPr>
          <w:rFonts w:cs="Arial"/>
          <w:lang w:val="ru-RU"/>
        </w:rPr>
        <w:t xml:space="preserve"> потенциала Движения, а также в мобилизацию ресурсов и эффе</w:t>
      </w:r>
      <w:r w:rsidR="004D0A46" w:rsidRPr="005F7836">
        <w:rPr>
          <w:rFonts w:cs="Arial"/>
          <w:lang w:val="ru-RU"/>
        </w:rPr>
        <w:t>к</w:t>
      </w:r>
      <w:r w:rsidR="008E4345" w:rsidRPr="005F7836">
        <w:rPr>
          <w:rFonts w:cs="Arial"/>
          <w:lang w:val="ru-RU"/>
        </w:rPr>
        <w:t>тивную координацию действий</w:t>
      </w:r>
      <w:r w:rsidR="004D0A46" w:rsidRPr="005F7836">
        <w:rPr>
          <w:rFonts w:cs="Arial"/>
          <w:lang w:val="ru-RU"/>
        </w:rPr>
        <w:t xml:space="preserve"> для достижения наших индивидуальных и </w:t>
      </w:r>
      <w:r w:rsidR="008E4345" w:rsidRPr="005F7836">
        <w:rPr>
          <w:rFonts w:cs="Arial"/>
          <w:lang w:val="ru-RU"/>
        </w:rPr>
        <w:t>коллективных</w:t>
      </w:r>
      <w:r w:rsidR="004D0A46" w:rsidRPr="005F7836">
        <w:rPr>
          <w:rFonts w:cs="Arial"/>
          <w:lang w:val="ru-RU"/>
        </w:rPr>
        <w:t xml:space="preserve"> целей. </w:t>
      </w:r>
    </w:p>
    <w:p w14:paraId="78113DB3" w14:textId="4239C5BB" w:rsidR="00BF09B5" w:rsidRPr="005F7836" w:rsidRDefault="004D0A46" w:rsidP="00CF6EA7">
      <w:pPr>
        <w:pStyle w:val="CoDNormal"/>
        <w:rPr>
          <w:rFonts w:cs="Arial"/>
          <w:lang w:val="ru-RU"/>
        </w:rPr>
      </w:pPr>
      <w:r w:rsidRPr="005F7836">
        <w:rPr>
          <w:rFonts w:cs="Arial"/>
          <w:lang w:val="ru-RU"/>
        </w:rPr>
        <w:t>Рабочая группа и технические специалисты п</w:t>
      </w:r>
      <w:r w:rsidR="00FF7E1A" w:rsidRPr="005F7836">
        <w:rPr>
          <w:rFonts w:cs="Arial"/>
          <w:lang w:val="ru-RU"/>
        </w:rPr>
        <w:t>о привлечению средств подготовили</w:t>
      </w:r>
      <w:r w:rsidRPr="005F7836">
        <w:rPr>
          <w:rFonts w:cs="Arial"/>
          <w:lang w:val="ru-RU"/>
        </w:rPr>
        <w:t xml:space="preserve"> практические рекомендации для </w:t>
      </w:r>
      <w:r w:rsidR="00FF7E1A" w:rsidRPr="005F7836">
        <w:rPr>
          <w:rFonts w:cs="Arial"/>
          <w:lang w:val="ru-RU"/>
        </w:rPr>
        <w:t>осуществления этих целей. Будут реализованы к</w:t>
      </w:r>
      <w:r w:rsidRPr="005F7836">
        <w:rPr>
          <w:rFonts w:cs="Arial"/>
          <w:lang w:val="ru-RU"/>
        </w:rPr>
        <w:t>онкретные стратегические</w:t>
      </w:r>
      <w:r w:rsidR="00FF7E1A" w:rsidRPr="005F7836">
        <w:rPr>
          <w:rFonts w:cs="Arial"/>
          <w:lang w:val="ru-RU"/>
        </w:rPr>
        <w:t xml:space="preserve"> инициативы</w:t>
      </w:r>
      <w:r w:rsidRPr="005F7836">
        <w:rPr>
          <w:rFonts w:cs="Arial"/>
          <w:lang w:val="ru-RU"/>
        </w:rPr>
        <w:t>, и о</w:t>
      </w:r>
      <w:r w:rsidR="00FF7E1A" w:rsidRPr="005F7836">
        <w:rPr>
          <w:rFonts w:cs="Arial"/>
          <w:lang w:val="ru-RU"/>
        </w:rPr>
        <w:t xml:space="preserve">б их осуществлении </w:t>
      </w:r>
      <w:r w:rsidRPr="005F7836">
        <w:rPr>
          <w:rFonts w:cs="Arial"/>
          <w:lang w:val="ru-RU"/>
        </w:rPr>
        <w:t>будет доложено на Совете делегатов 2019 года</w:t>
      </w:r>
      <w:r w:rsidR="00CF6EA7" w:rsidRPr="005F7836">
        <w:rPr>
          <w:rFonts w:cs="Arial"/>
          <w:lang w:val="ru-RU"/>
        </w:rPr>
        <w:t>:</w:t>
      </w:r>
    </w:p>
    <w:p w14:paraId="7FE4C965" w14:textId="32A04904" w:rsidR="00ED523B" w:rsidRPr="005F7836" w:rsidRDefault="004666EB" w:rsidP="00CF6EA7">
      <w:pPr>
        <w:pStyle w:val="CoDBullet"/>
        <w:rPr>
          <w:rFonts w:cs="Arial"/>
          <w:lang w:val="ru-RU"/>
        </w:rPr>
      </w:pPr>
      <w:r w:rsidRPr="005F7836">
        <w:rPr>
          <w:rFonts w:cs="Arial"/>
          <w:b/>
          <w:lang w:val="ru-RU"/>
        </w:rPr>
        <w:t>Виртуальная площадка для привлечения</w:t>
      </w:r>
      <w:r w:rsidR="00ED523B" w:rsidRPr="005F7836">
        <w:rPr>
          <w:rFonts w:cs="Arial"/>
          <w:b/>
          <w:lang w:val="ru-RU"/>
        </w:rPr>
        <w:t xml:space="preserve"> средств</w:t>
      </w:r>
      <w:r w:rsidR="00CD55C6" w:rsidRPr="005F7836">
        <w:rPr>
          <w:rFonts w:cs="Arial"/>
          <w:b/>
          <w:lang w:val="ru-RU"/>
        </w:rPr>
        <w:t>:</w:t>
      </w:r>
      <w:r w:rsidR="00CD55C6" w:rsidRPr="005F7836">
        <w:rPr>
          <w:rFonts w:cs="Arial"/>
          <w:lang w:val="ru-RU"/>
        </w:rPr>
        <w:t xml:space="preserve"> </w:t>
      </w:r>
      <w:r w:rsidR="000C38E8" w:rsidRPr="005F7836">
        <w:rPr>
          <w:rFonts w:cs="Arial"/>
          <w:lang w:val="ru-RU"/>
        </w:rPr>
        <w:t>Обеспечить финансирование, разработать</w:t>
      </w:r>
      <w:r w:rsidR="001509C0" w:rsidRPr="005F7836">
        <w:rPr>
          <w:rFonts w:cs="Arial"/>
          <w:lang w:val="ru-RU"/>
        </w:rPr>
        <w:t xml:space="preserve"> и </w:t>
      </w:r>
      <w:r w:rsidR="000C38E8" w:rsidRPr="005F7836">
        <w:rPr>
          <w:rFonts w:cs="Arial"/>
          <w:lang w:val="ru-RU"/>
        </w:rPr>
        <w:t>обеспечить управление тремя основными</w:t>
      </w:r>
      <w:r w:rsidR="001509C0" w:rsidRPr="005F7836">
        <w:rPr>
          <w:rFonts w:cs="Arial"/>
          <w:lang w:val="ru-RU"/>
        </w:rPr>
        <w:t xml:space="preserve"> </w:t>
      </w:r>
      <w:r w:rsidR="001509C0" w:rsidRPr="005F7836">
        <w:rPr>
          <w:rFonts w:cs="Arial"/>
          <w:lang w:val="ru-RU"/>
        </w:rPr>
        <w:lastRenderedPageBreak/>
        <w:t xml:space="preserve">компонентами первого этапа: определение процесса сбора и анализа данных </w:t>
      </w:r>
      <w:r w:rsidR="000C38E8" w:rsidRPr="005F7836">
        <w:rPr>
          <w:rFonts w:cs="Arial"/>
          <w:lang w:val="ru-RU"/>
        </w:rPr>
        <w:t>по привлечению средств, создание</w:t>
      </w:r>
      <w:r w:rsidR="001509C0" w:rsidRPr="005F7836">
        <w:rPr>
          <w:rFonts w:cs="Arial"/>
          <w:lang w:val="ru-RU"/>
        </w:rPr>
        <w:t xml:space="preserve"> систем и процессов, </w:t>
      </w:r>
      <w:r w:rsidR="000C38E8" w:rsidRPr="005F7836">
        <w:rPr>
          <w:rFonts w:cs="Arial"/>
          <w:lang w:val="ru-RU"/>
        </w:rPr>
        <w:t>необходимых</w:t>
      </w:r>
      <w:r w:rsidR="001509C0" w:rsidRPr="005F7836">
        <w:rPr>
          <w:rFonts w:cs="Arial"/>
          <w:lang w:val="ru-RU"/>
        </w:rPr>
        <w:t xml:space="preserve"> для инвестиций в привлечение средств и развити</w:t>
      </w:r>
      <w:r w:rsidR="000C38E8" w:rsidRPr="005F7836">
        <w:rPr>
          <w:rFonts w:cs="Arial"/>
          <w:lang w:val="ru-RU"/>
        </w:rPr>
        <w:t>е</w:t>
      </w:r>
      <w:r w:rsidR="001509C0" w:rsidRPr="005F7836">
        <w:rPr>
          <w:rFonts w:cs="Arial"/>
          <w:lang w:val="ru-RU"/>
        </w:rPr>
        <w:t xml:space="preserve"> координационного потенциала, </w:t>
      </w:r>
      <w:r w:rsidR="000C38E8" w:rsidRPr="005F7836">
        <w:rPr>
          <w:rFonts w:cs="Arial"/>
          <w:lang w:val="ru-RU"/>
        </w:rPr>
        <w:t>включая примеры передового опыта</w:t>
      </w:r>
      <w:r w:rsidRPr="005F7836">
        <w:rPr>
          <w:rFonts w:cs="Arial"/>
          <w:lang w:val="ru-RU"/>
        </w:rPr>
        <w:t xml:space="preserve"> и образовательные</w:t>
      </w:r>
      <w:r w:rsidR="001509C0" w:rsidRPr="005F7836">
        <w:rPr>
          <w:rFonts w:cs="Arial"/>
          <w:lang w:val="ru-RU"/>
        </w:rPr>
        <w:t xml:space="preserve"> возможности. </w:t>
      </w:r>
      <w:r w:rsidR="00606705" w:rsidRPr="005F7836">
        <w:rPr>
          <w:rFonts w:cs="Arial"/>
          <w:lang w:val="ru-RU"/>
        </w:rPr>
        <w:t>На втором этап</w:t>
      </w:r>
      <w:r w:rsidR="000C38E8" w:rsidRPr="005F7836">
        <w:rPr>
          <w:rFonts w:cs="Arial"/>
          <w:lang w:val="ru-RU"/>
        </w:rPr>
        <w:t xml:space="preserve">е будет создана централизованная база различных </w:t>
      </w:r>
      <w:r w:rsidR="00606705" w:rsidRPr="005F7836">
        <w:rPr>
          <w:rFonts w:cs="Arial"/>
          <w:lang w:val="ru-RU"/>
        </w:rPr>
        <w:t>продуктов и программ</w:t>
      </w:r>
      <w:r w:rsidR="000C38E8" w:rsidRPr="005F7836">
        <w:rPr>
          <w:rFonts w:cs="Arial"/>
          <w:lang w:val="ru-RU"/>
        </w:rPr>
        <w:t xml:space="preserve"> по привлечению средств, а также </w:t>
      </w:r>
      <w:r w:rsidRPr="005F7836">
        <w:rPr>
          <w:rFonts w:cs="Arial"/>
          <w:lang w:val="ru-RU"/>
        </w:rPr>
        <w:t xml:space="preserve">разработано </w:t>
      </w:r>
      <w:r w:rsidR="000C38E8" w:rsidRPr="005F7836">
        <w:rPr>
          <w:rFonts w:cs="Arial"/>
          <w:lang w:val="ru-RU"/>
        </w:rPr>
        <w:t>содержательное наполнение</w:t>
      </w:r>
      <w:r w:rsidR="00606705" w:rsidRPr="005F7836">
        <w:rPr>
          <w:rFonts w:cs="Arial"/>
          <w:lang w:val="ru-RU"/>
        </w:rPr>
        <w:t xml:space="preserve"> (бюджеты, предметные </w:t>
      </w:r>
      <w:r w:rsidR="000C38E8" w:rsidRPr="005F7836">
        <w:rPr>
          <w:rFonts w:cs="Arial"/>
          <w:lang w:val="ru-RU"/>
        </w:rPr>
        <w:t>исследования, предложения, фотографии</w:t>
      </w:r>
      <w:r w:rsidR="00A22B64" w:rsidRPr="005F7836">
        <w:rPr>
          <w:rFonts w:cs="Arial"/>
          <w:lang w:val="ru-RU"/>
        </w:rPr>
        <w:t xml:space="preserve">)  на основании вклада каждого из участников </w:t>
      </w:r>
      <w:r w:rsidR="00606705" w:rsidRPr="005F7836">
        <w:rPr>
          <w:rFonts w:cs="Arial"/>
          <w:lang w:val="ru-RU"/>
        </w:rPr>
        <w:t>Движения. Второй этап может начать</w:t>
      </w:r>
      <w:r w:rsidR="00A22B64" w:rsidRPr="005F7836">
        <w:rPr>
          <w:rFonts w:cs="Arial"/>
          <w:lang w:val="ru-RU"/>
        </w:rPr>
        <w:t>ся</w:t>
      </w:r>
      <w:r w:rsidR="00606705" w:rsidRPr="005F7836">
        <w:rPr>
          <w:rFonts w:cs="Arial"/>
          <w:lang w:val="ru-RU"/>
        </w:rPr>
        <w:t xml:space="preserve"> в начале 2020 года или раньше, если первый этап будет реализован быстрее.</w:t>
      </w:r>
    </w:p>
    <w:p w14:paraId="32662C97" w14:textId="1EBD3643" w:rsidR="00606705" w:rsidRPr="005F7836" w:rsidRDefault="00606705" w:rsidP="00CF6EA7">
      <w:pPr>
        <w:pStyle w:val="CoDBullet"/>
        <w:rPr>
          <w:rFonts w:cs="Arial"/>
          <w:lang w:val="ru-RU"/>
        </w:rPr>
      </w:pPr>
      <w:r w:rsidRPr="005F7836">
        <w:rPr>
          <w:rFonts w:cs="Arial"/>
          <w:b/>
          <w:lang w:val="ru-RU"/>
        </w:rPr>
        <w:t>Сбор и анализ данных</w:t>
      </w:r>
      <w:r w:rsidR="00CD55C6" w:rsidRPr="005F7836">
        <w:rPr>
          <w:rFonts w:cs="Arial"/>
          <w:b/>
          <w:lang w:val="ru-RU"/>
        </w:rPr>
        <w:t>:</w:t>
      </w:r>
      <w:r w:rsidR="00CD55C6" w:rsidRPr="005F7836">
        <w:rPr>
          <w:rFonts w:cs="Arial"/>
          <w:lang w:val="ru-RU"/>
        </w:rPr>
        <w:t xml:space="preserve"> </w:t>
      </w:r>
      <w:r w:rsidRPr="005F7836">
        <w:rPr>
          <w:rFonts w:cs="Arial"/>
          <w:lang w:val="ru-RU"/>
        </w:rPr>
        <w:t>Все участники Движения берут на себ</w:t>
      </w:r>
      <w:r w:rsidR="00E13A1D" w:rsidRPr="005F7836">
        <w:rPr>
          <w:rFonts w:cs="Arial"/>
          <w:lang w:val="ru-RU"/>
        </w:rPr>
        <w:t>я обязательства в приоритетном порядке организовать</w:t>
      </w:r>
      <w:r w:rsidRPr="005F7836">
        <w:rPr>
          <w:rFonts w:cs="Arial"/>
          <w:lang w:val="ru-RU"/>
        </w:rPr>
        <w:t xml:space="preserve"> сбор</w:t>
      </w:r>
      <w:r w:rsidR="00E13A1D" w:rsidRPr="005F7836">
        <w:rPr>
          <w:rFonts w:cs="Arial"/>
          <w:lang w:val="ru-RU"/>
        </w:rPr>
        <w:t xml:space="preserve"> и анализ данных по привлечению средств под эгидой МФОККиКП для последующей передачи </w:t>
      </w:r>
      <w:r w:rsidRPr="005F7836">
        <w:rPr>
          <w:rFonts w:cs="Arial"/>
          <w:lang w:val="ru-RU"/>
        </w:rPr>
        <w:t xml:space="preserve">международным неправительственным </w:t>
      </w:r>
      <w:r w:rsidR="00E13A1D" w:rsidRPr="005F7836">
        <w:rPr>
          <w:rFonts w:cs="Arial"/>
          <w:lang w:val="ru-RU"/>
        </w:rPr>
        <w:t>организациям для проведения сравнительного анализа</w:t>
      </w:r>
      <w:r w:rsidR="00BF09B5" w:rsidRPr="005F7836">
        <w:rPr>
          <w:rFonts w:cs="Arial"/>
          <w:lang w:val="ru-RU"/>
        </w:rPr>
        <w:t>.</w:t>
      </w:r>
      <w:r w:rsidR="001E181C" w:rsidRPr="005F7836">
        <w:rPr>
          <w:rFonts w:cs="Arial"/>
          <w:lang w:val="ru-RU"/>
        </w:rPr>
        <w:t xml:space="preserve"> </w:t>
      </w:r>
      <w:r w:rsidR="00E13A1D" w:rsidRPr="005F7836">
        <w:rPr>
          <w:rFonts w:cs="Arial"/>
          <w:lang w:val="ru-RU"/>
        </w:rPr>
        <w:t xml:space="preserve">Эти данные создадут основу для принятия взвешенных </w:t>
      </w:r>
      <w:r w:rsidRPr="005F7836">
        <w:rPr>
          <w:rFonts w:cs="Arial"/>
          <w:lang w:val="ru-RU"/>
        </w:rPr>
        <w:t>стратегических решений по привлечению средств в</w:t>
      </w:r>
      <w:r w:rsidR="00E13A1D" w:rsidRPr="005F7836">
        <w:rPr>
          <w:rFonts w:cs="Arial"/>
          <w:lang w:val="ru-RU"/>
        </w:rPr>
        <w:t xml:space="preserve"> масштабах Движения. Проведение сравнительного анализа</w:t>
      </w:r>
      <w:r w:rsidRPr="005F7836">
        <w:rPr>
          <w:rFonts w:cs="Arial"/>
          <w:lang w:val="ru-RU"/>
        </w:rPr>
        <w:t xml:space="preserve"> данных </w:t>
      </w:r>
      <w:r w:rsidR="00E13A1D" w:rsidRPr="005F7836">
        <w:rPr>
          <w:rFonts w:cs="Arial"/>
          <w:lang w:val="ru-RU"/>
        </w:rPr>
        <w:t xml:space="preserve">позволит Движению понять свои </w:t>
      </w:r>
      <w:r w:rsidRPr="005F7836">
        <w:rPr>
          <w:rFonts w:cs="Arial"/>
          <w:lang w:val="ru-RU"/>
        </w:rPr>
        <w:t>сильные и слабые стороны</w:t>
      </w:r>
      <w:r w:rsidR="00E13A1D" w:rsidRPr="005F7836">
        <w:rPr>
          <w:rFonts w:cs="Arial"/>
          <w:lang w:val="ru-RU"/>
        </w:rPr>
        <w:t xml:space="preserve"> и найти</w:t>
      </w:r>
      <w:r w:rsidRPr="005F7836">
        <w:rPr>
          <w:rFonts w:cs="Arial"/>
          <w:lang w:val="ru-RU"/>
        </w:rPr>
        <w:t xml:space="preserve"> возможности</w:t>
      </w:r>
      <w:r w:rsidR="00E13A1D" w:rsidRPr="005F7836">
        <w:rPr>
          <w:rFonts w:cs="Arial"/>
          <w:lang w:val="ru-RU"/>
        </w:rPr>
        <w:t xml:space="preserve"> для роста</w:t>
      </w:r>
      <w:r w:rsidRPr="005F7836">
        <w:rPr>
          <w:rFonts w:cs="Arial"/>
          <w:lang w:val="ru-RU"/>
        </w:rPr>
        <w:t xml:space="preserve"> </w:t>
      </w:r>
      <w:r w:rsidR="00273426" w:rsidRPr="005F7836">
        <w:rPr>
          <w:rFonts w:cs="Arial"/>
          <w:lang w:val="ru-RU"/>
        </w:rPr>
        <w:t>как на м</w:t>
      </w:r>
      <w:r w:rsidR="00E13A1D" w:rsidRPr="005F7836">
        <w:rPr>
          <w:rFonts w:cs="Arial"/>
          <w:lang w:val="ru-RU"/>
        </w:rPr>
        <w:t>е</w:t>
      </w:r>
      <w:r w:rsidR="00273426" w:rsidRPr="005F7836">
        <w:rPr>
          <w:rFonts w:cs="Arial"/>
          <w:lang w:val="ru-RU"/>
        </w:rPr>
        <w:t>стных, так и на глобальных</w:t>
      </w:r>
      <w:r w:rsidR="00E13A1D" w:rsidRPr="005F7836">
        <w:rPr>
          <w:rFonts w:cs="Arial"/>
          <w:lang w:val="ru-RU"/>
        </w:rPr>
        <w:t xml:space="preserve"> рынках. Централизованная база данных позволит Движению</w:t>
      </w:r>
      <w:r w:rsidR="00273426" w:rsidRPr="005F7836">
        <w:rPr>
          <w:rFonts w:cs="Arial"/>
          <w:lang w:val="ru-RU"/>
        </w:rPr>
        <w:t xml:space="preserve"> оценить, каковы его основные финансовые показатели в области привлечения средств, включая общие доходы и расходы дл</w:t>
      </w:r>
      <w:r w:rsidR="00E13A1D" w:rsidRPr="005F7836">
        <w:rPr>
          <w:rFonts w:cs="Arial"/>
          <w:lang w:val="ru-RU"/>
        </w:rPr>
        <w:t>я каждого национального общества</w:t>
      </w:r>
      <w:r w:rsidR="00273426" w:rsidRPr="005F7836">
        <w:rPr>
          <w:rFonts w:cs="Arial"/>
          <w:lang w:val="ru-RU"/>
        </w:rPr>
        <w:t>. Данные будут разбиты на</w:t>
      </w:r>
      <w:r w:rsidR="00E13A1D" w:rsidRPr="005F7836">
        <w:rPr>
          <w:rFonts w:cs="Arial"/>
          <w:lang w:val="ru-RU"/>
        </w:rPr>
        <w:t xml:space="preserve"> следующие категории</w:t>
      </w:r>
      <w:r w:rsidR="00273426" w:rsidRPr="005F7836">
        <w:rPr>
          <w:rFonts w:cs="Arial"/>
          <w:lang w:val="ru-RU"/>
        </w:rPr>
        <w:t xml:space="preserve">: общественные, частные, </w:t>
      </w:r>
      <w:r w:rsidR="00E13A1D" w:rsidRPr="005F7836">
        <w:rPr>
          <w:rFonts w:cs="Arial"/>
          <w:lang w:val="ru-RU"/>
        </w:rPr>
        <w:t>правительственные</w:t>
      </w:r>
      <w:r w:rsidR="00273426" w:rsidRPr="005F7836">
        <w:rPr>
          <w:rFonts w:cs="Arial"/>
          <w:lang w:val="ru-RU"/>
        </w:rPr>
        <w:t xml:space="preserve">, данные других </w:t>
      </w:r>
      <w:r w:rsidR="00E13A1D" w:rsidRPr="005F7836">
        <w:rPr>
          <w:rFonts w:cs="Arial"/>
          <w:lang w:val="ru-RU"/>
        </w:rPr>
        <w:t>участников</w:t>
      </w:r>
      <w:r w:rsidR="00273426" w:rsidRPr="005F7836">
        <w:rPr>
          <w:rFonts w:cs="Arial"/>
          <w:lang w:val="ru-RU"/>
        </w:rPr>
        <w:t xml:space="preserve"> </w:t>
      </w:r>
      <w:r w:rsidR="00E13A1D" w:rsidRPr="005F7836">
        <w:rPr>
          <w:rFonts w:cs="Arial"/>
          <w:lang w:val="ru-RU"/>
        </w:rPr>
        <w:t>Движения, продажи (товары/коммерческая деятельность</w:t>
      </w:r>
      <w:r w:rsidR="00273426" w:rsidRPr="005F7836">
        <w:rPr>
          <w:rFonts w:cs="Arial"/>
          <w:lang w:val="ru-RU"/>
        </w:rPr>
        <w:t>), продажи (</w:t>
      </w:r>
      <w:r w:rsidR="00E13A1D" w:rsidRPr="005F7836">
        <w:rPr>
          <w:rFonts w:cs="Arial"/>
          <w:lang w:val="ru-RU"/>
        </w:rPr>
        <w:t>услуги/благотворительность). Мониторинг данных</w:t>
      </w:r>
      <w:r w:rsidR="00273426" w:rsidRPr="005F7836">
        <w:rPr>
          <w:rFonts w:cs="Arial"/>
          <w:lang w:val="ru-RU"/>
        </w:rPr>
        <w:t xml:space="preserve"> долж</w:t>
      </w:r>
      <w:r w:rsidR="00E13A1D" w:rsidRPr="005F7836">
        <w:rPr>
          <w:rFonts w:cs="Arial"/>
          <w:lang w:val="ru-RU"/>
        </w:rPr>
        <w:t>ен осуществляться на протяжении, как минимум,</w:t>
      </w:r>
      <w:r w:rsidR="00273426" w:rsidRPr="005F7836">
        <w:rPr>
          <w:rFonts w:cs="Arial"/>
          <w:lang w:val="ru-RU"/>
        </w:rPr>
        <w:t xml:space="preserve"> </w:t>
      </w:r>
      <w:r w:rsidR="00E13A1D" w:rsidRPr="005F7836">
        <w:rPr>
          <w:rFonts w:cs="Arial"/>
          <w:lang w:val="ru-RU"/>
        </w:rPr>
        <w:t>трех лет, чтобы обеспечить их эффе</w:t>
      </w:r>
      <w:r w:rsidR="00273426" w:rsidRPr="005F7836">
        <w:rPr>
          <w:rFonts w:cs="Arial"/>
          <w:lang w:val="ru-RU"/>
        </w:rPr>
        <w:t>к</w:t>
      </w:r>
      <w:r w:rsidR="00E13A1D" w:rsidRPr="005F7836">
        <w:rPr>
          <w:rFonts w:cs="Arial"/>
          <w:lang w:val="ru-RU"/>
        </w:rPr>
        <w:t>т</w:t>
      </w:r>
      <w:r w:rsidR="00273426" w:rsidRPr="005F7836">
        <w:rPr>
          <w:rFonts w:cs="Arial"/>
          <w:lang w:val="ru-RU"/>
        </w:rPr>
        <w:t>ивно</w:t>
      </w:r>
      <w:r w:rsidR="00E13A1D" w:rsidRPr="005F7836">
        <w:rPr>
          <w:rFonts w:cs="Arial"/>
          <w:lang w:val="ru-RU"/>
        </w:rPr>
        <w:t>е использование</w:t>
      </w:r>
      <w:r w:rsidR="00273426" w:rsidRPr="005F7836">
        <w:rPr>
          <w:rFonts w:cs="Arial"/>
          <w:lang w:val="ru-RU"/>
        </w:rPr>
        <w:t xml:space="preserve"> в рамках анализа.</w:t>
      </w:r>
    </w:p>
    <w:p w14:paraId="7465B75A" w14:textId="713229B5" w:rsidR="00CD55C6" w:rsidRPr="005F7836" w:rsidRDefault="00CD55C6" w:rsidP="00273426">
      <w:pPr>
        <w:pStyle w:val="CoDBullet"/>
        <w:numPr>
          <w:ilvl w:val="0"/>
          <w:numId w:val="0"/>
        </w:numPr>
        <w:ind w:left="720"/>
        <w:rPr>
          <w:rFonts w:cs="Arial"/>
          <w:lang w:val="ru-RU"/>
        </w:rPr>
      </w:pPr>
    </w:p>
    <w:p w14:paraId="271ED7B5" w14:textId="337A7FC4" w:rsidR="00273426" w:rsidRPr="005F7836" w:rsidRDefault="00273426" w:rsidP="00CF6EA7">
      <w:pPr>
        <w:pStyle w:val="CoDBullet"/>
        <w:rPr>
          <w:rFonts w:cs="Arial"/>
          <w:lang w:val="ru-RU"/>
        </w:rPr>
      </w:pPr>
      <w:r w:rsidRPr="005F7836">
        <w:rPr>
          <w:rFonts w:cs="Arial"/>
          <w:b/>
          <w:lang w:val="ru-RU"/>
        </w:rPr>
        <w:t>Инвестиционный фонд для привлечения средств</w:t>
      </w:r>
      <w:r w:rsidR="0003689F" w:rsidRPr="005F7836">
        <w:rPr>
          <w:rFonts w:cs="Arial"/>
          <w:b/>
          <w:lang w:val="ru-RU"/>
        </w:rPr>
        <w:t>:</w:t>
      </w:r>
      <w:r w:rsidR="001E181C" w:rsidRPr="005F7836">
        <w:rPr>
          <w:rFonts w:cs="Arial"/>
          <w:lang w:val="ru-RU"/>
        </w:rPr>
        <w:t xml:space="preserve"> </w:t>
      </w:r>
      <w:r w:rsidRPr="005F7836">
        <w:rPr>
          <w:rFonts w:cs="Arial"/>
          <w:lang w:val="ru-RU"/>
        </w:rPr>
        <w:t>Буде</w:t>
      </w:r>
      <w:r w:rsidR="004D4EB5" w:rsidRPr="005F7836">
        <w:rPr>
          <w:rFonts w:cs="Arial"/>
          <w:lang w:val="ru-RU"/>
        </w:rPr>
        <w:t>т создан фонд для предоставления первичного финансирования</w:t>
      </w:r>
      <w:r w:rsidRPr="005F7836">
        <w:rPr>
          <w:rFonts w:cs="Arial"/>
          <w:lang w:val="ru-RU"/>
        </w:rPr>
        <w:t xml:space="preserve"> для </w:t>
      </w:r>
      <w:r w:rsidR="004D4EB5" w:rsidRPr="005F7836">
        <w:rPr>
          <w:rFonts w:cs="Arial"/>
          <w:lang w:val="ru-RU"/>
        </w:rPr>
        <w:t xml:space="preserve">осуществления </w:t>
      </w:r>
      <w:r w:rsidRPr="005F7836">
        <w:rPr>
          <w:rFonts w:cs="Arial"/>
          <w:lang w:val="ru-RU"/>
        </w:rPr>
        <w:t xml:space="preserve">инвестиций в развитие </w:t>
      </w:r>
      <w:r w:rsidR="00870751" w:rsidRPr="005F7836">
        <w:rPr>
          <w:rFonts w:cs="Arial"/>
          <w:lang w:val="ru-RU"/>
        </w:rPr>
        <w:t xml:space="preserve">системы </w:t>
      </w:r>
      <w:r w:rsidRPr="005F7836">
        <w:rPr>
          <w:rFonts w:cs="Arial"/>
          <w:lang w:val="ru-RU"/>
        </w:rPr>
        <w:t xml:space="preserve">привлечения средств, </w:t>
      </w:r>
      <w:r w:rsidR="00870751" w:rsidRPr="005F7836">
        <w:rPr>
          <w:rFonts w:cs="Arial"/>
          <w:lang w:val="ru-RU"/>
        </w:rPr>
        <w:t xml:space="preserve">координация деятельности которого </w:t>
      </w:r>
      <w:r w:rsidRPr="005F7836">
        <w:rPr>
          <w:rFonts w:cs="Arial"/>
          <w:lang w:val="ru-RU"/>
        </w:rPr>
        <w:t>будет</w:t>
      </w:r>
      <w:r w:rsidR="00870751" w:rsidRPr="005F7836">
        <w:rPr>
          <w:rFonts w:cs="Arial"/>
          <w:lang w:val="ru-RU"/>
        </w:rPr>
        <w:t xml:space="preserve"> осуществляться посредством виртуальной площадки</w:t>
      </w:r>
      <w:r w:rsidR="004666EB" w:rsidRPr="005F7836">
        <w:rPr>
          <w:rFonts w:cs="Arial"/>
          <w:lang w:val="ru-RU"/>
        </w:rPr>
        <w:t xml:space="preserve"> для</w:t>
      </w:r>
      <w:r w:rsidRPr="005F7836">
        <w:rPr>
          <w:rFonts w:cs="Arial"/>
          <w:lang w:val="ru-RU"/>
        </w:rPr>
        <w:t xml:space="preserve"> привле</w:t>
      </w:r>
      <w:r w:rsidR="004666EB" w:rsidRPr="005F7836">
        <w:rPr>
          <w:rFonts w:cs="Arial"/>
          <w:lang w:val="ru-RU"/>
        </w:rPr>
        <w:t>чения</w:t>
      </w:r>
      <w:r w:rsidR="00870751" w:rsidRPr="005F7836">
        <w:rPr>
          <w:rFonts w:cs="Arial"/>
          <w:lang w:val="ru-RU"/>
        </w:rPr>
        <w:t xml:space="preserve"> средств. Фонд будет сотруд</w:t>
      </w:r>
      <w:r w:rsidR="00787C62" w:rsidRPr="005F7836">
        <w:rPr>
          <w:rFonts w:cs="Arial"/>
          <w:lang w:val="ru-RU"/>
        </w:rPr>
        <w:t>ничать</w:t>
      </w:r>
      <w:r w:rsidRPr="005F7836">
        <w:rPr>
          <w:rFonts w:cs="Arial"/>
          <w:lang w:val="ru-RU"/>
        </w:rPr>
        <w:t xml:space="preserve"> с </w:t>
      </w:r>
      <w:r w:rsidR="00787C62" w:rsidRPr="005F7836">
        <w:rPr>
          <w:rFonts w:cs="Arial"/>
          <w:lang w:val="ru-RU"/>
        </w:rPr>
        <w:t xml:space="preserve">избранными национальными обществами в целях </w:t>
      </w:r>
      <w:r w:rsidRPr="005F7836">
        <w:rPr>
          <w:rFonts w:cs="Arial"/>
          <w:lang w:val="ru-RU"/>
        </w:rPr>
        <w:t>выявления их  потенциала по привлечению средств. Виртуаль</w:t>
      </w:r>
      <w:r w:rsidR="00787C62" w:rsidRPr="005F7836">
        <w:rPr>
          <w:rFonts w:cs="Arial"/>
          <w:lang w:val="ru-RU"/>
        </w:rPr>
        <w:t>ная площадка будет заниматься вопросами</w:t>
      </w:r>
      <w:r w:rsidRPr="005F7836">
        <w:rPr>
          <w:rFonts w:cs="Arial"/>
          <w:lang w:val="ru-RU"/>
        </w:rPr>
        <w:t xml:space="preserve"> </w:t>
      </w:r>
      <w:r w:rsidR="00787C62" w:rsidRPr="005F7836">
        <w:rPr>
          <w:rFonts w:cs="Arial"/>
          <w:lang w:val="ru-RU"/>
        </w:rPr>
        <w:t>рентабельности в целях проведения оценки и определения приоритетности</w:t>
      </w:r>
      <w:r w:rsidRPr="005F7836">
        <w:rPr>
          <w:rFonts w:cs="Arial"/>
          <w:lang w:val="ru-RU"/>
        </w:rPr>
        <w:t xml:space="preserve"> инвестиций. Она будет та</w:t>
      </w:r>
      <w:r w:rsidR="00787C62" w:rsidRPr="005F7836">
        <w:rPr>
          <w:rFonts w:cs="Arial"/>
          <w:lang w:val="ru-RU"/>
        </w:rPr>
        <w:t xml:space="preserve">кже предоставлять поддержку в области </w:t>
      </w:r>
      <w:r w:rsidRPr="005F7836">
        <w:rPr>
          <w:rFonts w:cs="Arial"/>
          <w:lang w:val="ru-RU"/>
        </w:rPr>
        <w:t xml:space="preserve"> тестирования и развертывания инициатив, ко</w:t>
      </w:r>
      <w:r w:rsidR="00787C62" w:rsidRPr="005F7836">
        <w:rPr>
          <w:rFonts w:cs="Arial"/>
          <w:lang w:val="ru-RU"/>
        </w:rPr>
        <w:t>торые доказали свой потенциал обеспечивать</w:t>
      </w:r>
      <w:r w:rsidRPr="005F7836">
        <w:rPr>
          <w:rFonts w:cs="Arial"/>
          <w:lang w:val="ru-RU"/>
        </w:rPr>
        <w:t xml:space="preserve"> многочисленные, устойчивы</w:t>
      </w:r>
      <w:r w:rsidR="00787C62" w:rsidRPr="005F7836">
        <w:rPr>
          <w:rFonts w:cs="Arial"/>
          <w:lang w:val="ru-RU"/>
        </w:rPr>
        <w:t>е</w:t>
      </w:r>
      <w:r w:rsidRPr="005F7836">
        <w:rPr>
          <w:rFonts w:cs="Arial"/>
          <w:lang w:val="ru-RU"/>
        </w:rPr>
        <w:t xml:space="preserve"> потоки доходов объемом </w:t>
      </w:r>
      <w:r w:rsidR="004666EB" w:rsidRPr="005F7836">
        <w:rPr>
          <w:rFonts w:cs="Arial"/>
          <w:lang w:val="ru-RU"/>
        </w:rPr>
        <w:t xml:space="preserve">в </w:t>
      </w:r>
      <w:r w:rsidRPr="005F7836">
        <w:rPr>
          <w:rFonts w:cs="Arial"/>
          <w:lang w:val="ru-RU"/>
        </w:rPr>
        <w:t xml:space="preserve">несколько </w:t>
      </w:r>
      <w:r w:rsidR="00787C62" w:rsidRPr="005F7836">
        <w:rPr>
          <w:rFonts w:cs="Arial"/>
          <w:lang w:val="ru-RU"/>
        </w:rPr>
        <w:t>миллионов</w:t>
      </w:r>
      <w:r w:rsidRPr="005F7836">
        <w:rPr>
          <w:rFonts w:cs="Arial"/>
          <w:lang w:val="ru-RU"/>
        </w:rPr>
        <w:t xml:space="preserve"> долларов</w:t>
      </w:r>
      <w:r w:rsidR="004666EB" w:rsidRPr="005F7836">
        <w:rPr>
          <w:rFonts w:cs="Arial"/>
          <w:lang w:val="ru-RU"/>
        </w:rPr>
        <w:t xml:space="preserve"> США</w:t>
      </w:r>
      <w:r w:rsidRPr="005F7836">
        <w:rPr>
          <w:rFonts w:cs="Arial"/>
          <w:lang w:val="ru-RU"/>
        </w:rPr>
        <w:t>. Первичная цель фонда за</w:t>
      </w:r>
      <w:r w:rsidR="00787C62" w:rsidRPr="005F7836">
        <w:rPr>
          <w:rFonts w:cs="Arial"/>
          <w:lang w:val="ru-RU"/>
        </w:rPr>
        <w:t>ключается в том, чтобы помочь национальным обществам</w:t>
      </w:r>
      <w:r w:rsidRPr="005F7836">
        <w:rPr>
          <w:rFonts w:cs="Arial"/>
          <w:lang w:val="ru-RU"/>
        </w:rPr>
        <w:t xml:space="preserve"> развить свой п</w:t>
      </w:r>
      <w:r w:rsidR="00787C62" w:rsidRPr="005F7836">
        <w:rPr>
          <w:rFonts w:cs="Arial"/>
          <w:lang w:val="ru-RU"/>
        </w:rPr>
        <w:t>отенциал и стать самодостаточными</w:t>
      </w:r>
      <w:r w:rsidRPr="005F7836">
        <w:rPr>
          <w:rFonts w:cs="Arial"/>
          <w:lang w:val="ru-RU"/>
        </w:rPr>
        <w:t xml:space="preserve"> в области мобилизаци</w:t>
      </w:r>
      <w:r w:rsidR="00787C62" w:rsidRPr="005F7836">
        <w:rPr>
          <w:rFonts w:cs="Arial"/>
          <w:lang w:val="ru-RU"/>
        </w:rPr>
        <w:t>и ресурсов. Фонд будет осуществлять свою деятельность на основе четкого свода</w:t>
      </w:r>
      <w:r w:rsidRPr="005F7836">
        <w:rPr>
          <w:rFonts w:cs="Arial"/>
          <w:lang w:val="ru-RU"/>
        </w:rPr>
        <w:t xml:space="preserve"> конкретных, измеримых, объек</w:t>
      </w:r>
      <w:r w:rsidR="00787C62" w:rsidRPr="005F7836">
        <w:rPr>
          <w:rFonts w:cs="Arial"/>
          <w:lang w:val="ru-RU"/>
        </w:rPr>
        <w:t>тивных</w:t>
      </w:r>
      <w:r w:rsidRPr="005F7836">
        <w:rPr>
          <w:rFonts w:cs="Arial"/>
          <w:lang w:val="ru-RU"/>
        </w:rPr>
        <w:t xml:space="preserve"> критериев</w:t>
      </w:r>
      <w:r w:rsidR="00787C62" w:rsidRPr="005F7836">
        <w:rPr>
          <w:rFonts w:cs="Arial"/>
          <w:lang w:val="ru-RU"/>
        </w:rPr>
        <w:t xml:space="preserve"> с четкими временными рамками, а также технического задания, в котором будут прописаны</w:t>
      </w:r>
      <w:r w:rsidRPr="005F7836">
        <w:rPr>
          <w:rFonts w:cs="Arial"/>
          <w:lang w:val="ru-RU"/>
        </w:rPr>
        <w:t xml:space="preserve"> </w:t>
      </w:r>
      <w:r w:rsidR="00787C62" w:rsidRPr="005F7836">
        <w:rPr>
          <w:rFonts w:cs="Arial"/>
          <w:lang w:val="ru-RU"/>
        </w:rPr>
        <w:t>строгие</w:t>
      </w:r>
      <w:r w:rsidRPr="005F7836">
        <w:rPr>
          <w:rFonts w:cs="Arial"/>
          <w:lang w:val="ru-RU"/>
        </w:rPr>
        <w:t xml:space="preserve"> обязательства </w:t>
      </w:r>
      <w:r w:rsidR="00787C62" w:rsidRPr="005F7836">
        <w:rPr>
          <w:rFonts w:cs="Arial"/>
          <w:lang w:val="ru-RU"/>
        </w:rPr>
        <w:t>в рамках партнерства как со стороны</w:t>
      </w:r>
      <w:r w:rsidRPr="005F7836">
        <w:rPr>
          <w:rFonts w:cs="Arial"/>
          <w:lang w:val="ru-RU"/>
        </w:rPr>
        <w:t xml:space="preserve"> инвест</w:t>
      </w:r>
      <w:r w:rsidR="00787C62" w:rsidRPr="005F7836">
        <w:rPr>
          <w:rFonts w:cs="Arial"/>
          <w:lang w:val="ru-RU"/>
        </w:rPr>
        <w:t>оров,  так и со стороны</w:t>
      </w:r>
      <w:r w:rsidRPr="005F7836">
        <w:rPr>
          <w:rFonts w:cs="Arial"/>
          <w:lang w:val="ru-RU"/>
        </w:rPr>
        <w:t xml:space="preserve"> получателей. Он позволит Движению извлечь максимум выгоды из возможностей привлечения средств, и сформулировать четкую стратегию для </w:t>
      </w:r>
      <w:r w:rsidR="00787C62" w:rsidRPr="005F7836">
        <w:rPr>
          <w:rFonts w:cs="Arial"/>
          <w:lang w:val="ru-RU"/>
        </w:rPr>
        <w:t xml:space="preserve">обеспечения </w:t>
      </w:r>
      <w:r w:rsidRPr="005F7836">
        <w:rPr>
          <w:rFonts w:cs="Arial"/>
          <w:lang w:val="ru-RU"/>
        </w:rPr>
        <w:t>роста</w:t>
      </w:r>
      <w:r w:rsidR="00787C62" w:rsidRPr="005F7836">
        <w:rPr>
          <w:rFonts w:cs="Arial"/>
          <w:lang w:val="ru-RU"/>
        </w:rPr>
        <w:t xml:space="preserve"> объема</w:t>
      </w:r>
      <w:r w:rsidRPr="005F7836">
        <w:rPr>
          <w:rFonts w:cs="Arial"/>
          <w:lang w:val="ru-RU"/>
        </w:rPr>
        <w:t xml:space="preserve"> дохо</w:t>
      </w:r>
      <w:r w:rsidR="00787C62" w:rsidRPr="005F7836">
        <w:rPr>
          <w:rFonts w:cs="Arial"/>
          <w:lang w:val="ru-RU"/>
        </w:rPr>
        <w:t>дов на ближайшие три-пять лет. Существующие в</w:t>
      </w:r>
      <w:r w:rsidRPr="005F7836">
        <w:rPr>
          <w:rFonts w:cs="Arial"/>
          <w:lang w:val="ru-RU"/>
        </w:rPr>
        <w:t>озможности будут выявляться как</w:t>
      </w:r>
      <w:r w:rsidR="00787C62" w:rsidRPr="005F7836">
        <w:rPr>
          <w:rFonts w:cs="Arial"/>
          <w:lang w:val="ru-RU"/>
        </w:rPr>
        <w:t xml:space="preserve"> на основании аналитических данных, так и внутренней информации, а также посредством привлечения к участию национальных обществ</w:t>
      </w:r>
      <w:r w:rsidR="00724F51" w:rsidRPr="005F7836">
        <w:rPr>
          <w:rFonts w:cs="Arial"/>
          <w:lang w:val="ru-RU"/>
        </w:rPr>
        <w:t xml:space="preserve">. Инвестиции в усилия по привлечению средств будут соотноситься с продолжающимися инициативами Движения по </w:t>
      </w:r>
      <w:r w:rsidR="00787C62" w:rsidRPr="005F7836">
        <w:rPr>
          <w:rFonts w:cs="Arial"/>
          <w:lang w:val="ru-RU"/>
        </w:rPr>
        <w:t>осуществлению инвестиций в развитие национальных обществ</w:t>
      </w:r>
      <w:r w:rsidR="00724F51" w:rsidRPr="005F7836">
        <w:rPr>
          <w:rFonts w:cs="Arial"/>
          <w:lang w:val="ru-RU"/>
        </w:rPr>
        <w:t xml:space="preserve">. </w:t>
      </w:r>
    </w:p>
    <w:p w14:paraId="487A8BF7" w14:textId="77777777" w:rsidR="00273426" w:rsidRPr="005F7836" w:rsidRDefault="00273426" w:rsidP="00273426">
      <w:pPr>
        <w:pStyle w:val="CoDBullet"/>
        <w:numPr>
          <w:ilvl w:val="0"/>
          <w:numId w:val="0"/>
        </w:numPr>
        <w:rPr>
          <w:rFonts w:cs="Arial"/>
          <w:lang w:val="ru-RU"/>
        </w:rPr>
      </w:pPr>
    </w:p>
    <w:p w14:paraId="19648B6D" w14:textId="6F862932" w:rsidR="001E181C" w:rsidRPr="005F7836" w:rsidRDefault="00724F51" w:rsidP="00724F51">
      <w:pPr>
        <w:pStyle w:val="CoDHeading1"/>
        <w:ind w:left="360"/>
        <w:rPr>
          <w:rFonts w:cs="Arial"/>
          <w:sz w:val="22"/>
          <w:lang w:val="ru-RU"/>
        </w:rPr>
      </w:pPr>
      <w:bookmarkStart w:id="1" w:name="_Toc487034782"/>
      <w:r w:rsidRPr="005F7836">
        <w:rPr>
          <w:rFonts w:cs="Arial"/>
          <w:sz w:val="22"/>
          <w:lang w:val="ru-RU"/>
        </w:rPr>
        <w:lastRenderedPageBreak/>
        <w:t>ОБЗОР</w:t>
      </w:r>
      <w:r w:rsidR="001E181C" w:rsidRPr="005F7836">
        <w:rPr>
          <w:rFonts w:cs="Arial"/>
          <w:sz w:val="22"/>
          <w:lang w:val="ru-RU"/>
        </w:rPr>
        <w:t xml:space="preserve"> &amp; </w:t>
      </w:r>
      <w:bookmarkEnd w:id="1"/>
      <w:r w:rsidR="00F96365" w:rsidRPr="005F7836">
        <w:rPr>
          <w:rFonts w:cs="Arial"/>
          <w:sz w:val="22"/>
          <w:lang w:val="ru-RU"/>
        </w:rPr>
        <w:t>этапы реализации принципов и тематических инициатив</w:t>
      </w:r>
    </w:p>
    <w:p w14:paraId="14926ABE" w14:textId="72674271" w:rsidR="00F177AA" w:rsidRPr="005F7836" w:rsidRDefault="00F96365" w:rsidP="00CF6EA7">
      <w:pPr>
        <w:pStyle w:val="CoDNormal"/>
        <w:rPr>
          <w:rFonts w:cs="Arial"/>
          <w:lang w:val="ru-RU"/>
        </w:rPr>
      </w:pPr>
      <w:r w:rsidRPr="005F7836">
        <w:rPr>
          <w:rFonts w:cs="Arial"/>
          <w:lang w:val="ru-RU"/>
        </w:rPr>
        <w:t>Принципы</w:t>
      </w:r>
      <w:r w:rsidR="00724F51" w:rsidRPr="005F7836">
        <w:rPr>
          <w:rFonts w:cs="Arial"/>
          <w:lang w:val="ru-RU"/>
        </w:rPr>
        <w:t xml:space="preserve"> </w:t>
      </w:r>
      <w:r w:rsidRPr="005F7836">
        <w:rPr>
          <w:rFonts w:cs="Arial"/>
          <w:lang w:val="ru-RU"/>
        </w:rPr>
        <w:t>Движения</w:t>
      </w:r>
      <w:r w:rsidR="00724F51" w:rsidRPr="005F7836">
        <w:rPr>
          <w:rFonts w:cs="Arial"/>
          <w:lang w:val="ru-RU"/>
        </w:rPr>
        <w:t xml:space="preserve"> по мобилизации ресурсов</w:t>
      </w:r>
      <w:r w:rsidRPr="005F7836">
        <w:rPr>
          <w:rFonts w:cs="Arial"/>
          <w:lang w:val="ru-RU"/>
        </w:rPr>
        <w:t xml:space="preserve"> и соответствующие тематические инициативы будут реализованы за двухлетний срок</w:t>
      </w:r>
      <w:r w:rsidR="00724F51" w:rsidRPr="005F7836">
        <w:rPr>
          <w:rFonts w:cs="Arial"/>
          <w:lang w:val="ru-RU"/>
        </w:rPr>
        <w:t xml:space="preserve"> вслед за </w:t>
      </w:r>
      <w:r w:rsidRPr="005F7836">
        <w:rPr>
          <w:rFonts w:cs="Arial"/>
          <w:lang w:val="ru-RU"/>
        </w:rPr>
        <w:t>ожидаемым</w:t>
      </w:r>
      <w:r w:rsidR="00724F51" w:rsidRPr="005F7836">
        <w:rPr>
          <w:rFonts w:cs="Arial"/>
          <w:lang w:val="ru-RU"/>
        </w:rPr>
        <w:t xml:space="preserve"> </w:t>
      </w:r>
      <w:r w:rsidRPr="005F7836">
        <w:rPr>
          <w:rFonts w:cs="Arial"/>
          <w:lang w:val="ru-RU"/>
        </w:rPr>
        <w:t>принятием Резолюции</w:t>
      </w:r>
      <w:r w:rsidR="00724F51" w:rsidRPr="005F7836">
        <w:rPr>
          <w:rFonts w:cs="Arial"/>
          <w:lang w:val="ru-RU"/>
        </w:rPr>
        <w:t xml:space="preserve"> Советом делегатов в ноябре 2017 года. МККК и МФОККиКП</w:t>
      </w:r>
      <w:r w:rsidRPr="005F7836">
        <w:rPr>
          <w:rFonts w:cs="Arial"/>
          <w:lang w:val="ru-RU"/>
        </w:rPr>
        <w:t>, совместно с национальными обществами</w:t>
      </w:r>
      <w:r w:rsidR="00724F51" w:rsidRPr="005F7836">
        <w:rPr>
          <w:rFonts w:cs="Arial"/>
          <w:lang w:val="ru-RU"/>
        </w:rPr>
        <w:t xml:space="preserve">, </w:t>
      </w:r>
      <w:r w:rsidRPr="005F7836">
        <w:rPr>
          <w:rFonts w:cs="Arial"/>
          <w:lang w:val="ru-RU"/>
        </w:rPr>
        <w:t>отчитаются</w:t>
      </w:r>
      <w:r w:rsidR="00724F51" w:rsidRPr="005F7836">
        <w:rPr>
          <w:rFonts w:cs="Arial"/>
          <w:lang w:val="ru-RU"/>
        </w:rPr>
        <w:t xml:space="preserve"> о </w:t>
      </w:r>
      <w:r w:rsidRPr="005F7836">
        <w:rPr>
          <w:rFonts w:cs="Arial"/>
          <w:lang w:val="ru-RU"/>
        </w:rPr>
        <w:t>проделанной</w:t>
      </w:r>
      <w:r w:rsidR="00724F51" w:rsidRPr="005F7836">
        <w:rPr>
          <w:rFonts w:cs="Arial"/>
          <w:lang w:val="ru-RU"/>
        </w:rPr>
        <w:t xml:space="preserve"> работе Со</w:t>
      </w:r>
      <w:r w:rsidRPr="005F7836">
        <w:rPr>
          <w:rFonts w:cs="Arial"/>
          <w:lang w:val="ru-RU"/>
        </w:rPr>
        <w:t>в</w:t>
      </w:r>
      <w:r w:rsidR="00724F51" w:rsidRPr="005F7836">
        <w:rPr>
          <w:rFonts w:cs="Arial"/>
          <w:lang w:val="ru-RU"/>
        </w:rPr>
        <w:t>ету делегатов 2019 года</w:t>
      </w:r>
      <w:r w:rsidRPr="005F7836">
        <w:rPr>
          <w:rFonts w:cs="Arial"/>
          <w:lang w:val="ru-RU"/>
        </w:rPr>
        <w:t>. Предполагаемые этапы</w:t>
      </w:r>
      <w:r w:rsidR="00724F51" w:rsidRPr="005F7836">
        <w:rPr>
          <w:rFonts w:cs="Arial"/>
          <w:lang w:val="ru-RU"/>
        </w:rPr>
        <w:t xml:space="preserve"> работы таковы</w:t>
      </w:r>
      <w:r w:rsidR="00CF6EA7" w:rsidRPr="005F7836">
        <w:rPr>
          <w:rFonts w:cs="Arial"/>
          <w:lang w:val="ru-RU"/>
        </w:rPr>
        <w:t>:</w:t>
      </w:r>
    </w:p>
    <w:p w14:paraId="23633E65" w14:textId="42EFB5FE" w:rsidR="00724F51" w:rsidRPr="005F7836" w:rsidRDefault="00F177AA" w:rsidP="00CF6EA7">
      <w:pPr>
        <w:pStyle w:val="CoDBullet"/>
        <w:rPr>
          <w:rFonts w:cs="Arial"/>
          <w:lang w:val="ru-RU"/>
        </w:rPr>
      </w:pPr>
      <w:r w:rsidRPr="005F7836">
        <w:rPr>
          <w:rFonts w:cs="Arial"/>
          <w:b/>
          <w:lang w:val="ru-RU"/>
        </w:rPr>
        <w:t>2017:</w:t>
      </w:r>
      <w:r w:rsidRPr="005F7836">
        <w:rPr>
          <w:rFonts w:cs="Arial"/>
          <w:lang w:val="ru-RU"/>
        </w:rPr>
        <w:t xml:space="preserve"> </w:t>
      </w:r>
      <w:r w:rsidR="00724F51" w:rsidRPr="005F7836">
        <w:rPr>
          <w:rFonts w:cs="Arial"/>
          <w:lang w:val="ru-RU"/>
        </w:rPr>
        <w:t xml:space="preserve">Совет делегатов принимает принципы мобилизации ресурсов для всех </w:t>
      </w:r>
      <w:r w:rsidR="00F96365" w:rsidRPr="005F7836">
        <w:rPr>
          <w:rFonts w:cs="Arial"/>
          <w:lang w:val="ru-RU"/>
        </w:rPr>
        <w:t>участников</w:t>
      </w:r>
      <w:r w:rsidR="00724F51" w:rsidRPr="005F7836">
        <w:rPr>
          <w:rFonts w:cs="Arial"/>
          <w:lang w:val="ru-RU"/>
        </w:rPr>
        <w:t xml:space="preserve"> </w:t>
      </w:r>
      <w:r w:rsidR="00F96365" w:rsidRPr="005F7836">
        <w:rPr>
          <w:rFonts w:cs="Arial"/>
          <w:lang w:val="ru-RU"/>
        </w:rPr>
        <w:t xml:space="preserve">Движения и </w:t>
      </w:r>
      <w:r w:rsidR="00110830" w:rsidRPr="005F7836">
        <w:rPr>
          <w:rFonts w:cs="Arial"/>
          <w:lang w:val="ru-RU"/>
        </w:rPr>
        <w:t xml:space="preserve">утверждает </w:t>
      </w:r>
      <w:r w:rsidR="00F96365" w:rsidRPr="005F7836">
        <w:rPr>
          <w:rFonts w:cs="Arial"/>
          <w:lang w:val="ru-RU"/>
        </w:rPr>
        <w:t>планируемые инициативы</w:t>
      </w:r>
      <w:r w:rsidR="00724F51" w:rsidRPr="005F7836">
        <w:rPr>
          <w:rFonts w:cs="Arial"/>
          <w:lang w:val="ru-RU"/>
        </w:rPr>
        <w:t>. Финансовые обязательства по поддержке обеспечиваются на следующие тр</w:t>
      </w:r>
      <w:r w:rsidR="00F96365" w:rsidRPr="005F7836">
        <w:rPr>
          <w:rFonts w:cs="Arial"/>
          <w:lang w:val="ru-RU"/>
        </w:rPr>
        <w:t>и года. Назначаются руководитель программ и члены Г</w:t>
      </w:r>
      <w:r w:rsidR="00724F51" w:rsidRPr="005F7836">
        <w:rPr>
          <w:rFonts w:cs="Arial"/>
          <w:lang w:val="ru-RU"/>
        </w:rPr>
        <w:t xml:space="preserve">руппы </w:t>
      </w:r>
      <w:r w:rsidR="00F96365" w:rsidRPr="005F7836">
        <w:rPr>
          <w:rFonts w:cs="Arial"/>
          <w:lang w:val="ru-RU"/>
        </w:rPr>
        <w:t>управления</w:t>
      </w:r>
      <w:r w:rsidR="00724F51" w:rsidRPr="005F7836">
        <w:rPr>
          <w:rFonts w:cs="Arial"/>
          <w:lang w:val="ru-RU"/>
        </w:rPr>
        <w:t xml:space="preserve"> </w:t>
      </w:r>
      <w:r w:rsidR="00F96365" w:rsidRPr="005F7836">
        <w:rPr>
          <w:rFonts w:cs="Arial"/>
          <w:lang w:val="ru-RU"/>
        </w:rPr>
        <w:t>программами</w:t>
      </w:r>
      <w:r w:rsidR="00724F51" w:rsidRPr="005F7836">
        <w:rPr>
          <w:rFonts w:cs="Arial"/>
          <w:lang w:val="ru-RU"/>
        </w:rPr>
        <w:t xml:space="preserve"> дл</w:t>
      </w:r>
      <w:r w:rsidR="00F96365" w:rsidRPr="005F7836">
        <w:rPr>
          <w:rFonts w:cs="Arial"/>
          <w:lang w:val="ru-RU"/>
        </w:rPr>
        <w:t>я надзора за реализацией программ</w:t>
      </w:r>
      <w:r w:rsidR="00724F51" w:rsidRPr="005F7836">
        <w:rPr>
          <w:rFonts w:cs="Arial"/>
          <w:lang w:val="ru-RU"/>
        </w:rPr>
        <w:t xml:space="preserve"> по созданию виртуальной </w:t>
      </w:r>
      <w:r w:rsidR="00F96365" w:rsidRPr="005F7836">
        <w:rPr>
          <w:rFonts w:cs="Arial"/>
          <w:lang w:val="ru-RU"/>
        </w:rPr>
        <w:t>площадки</w:t>
      </w:r>
      <w:r w:rsidR="00110830" w:rsidRPr="005F7836">
        <w:rPr>
          <w:rFonts w:cs="Arial"/>
          <w:lang w:val="ru-RU"/>
        </w:rPr>
        <w:t xml:space="preserve"> для привлечения</w:t>
      </w:r>
      <w:r w:rsidR="00724F51" w:rsidRPr="005F7836">
        <w:rPr>
          <w:rFonts w:cs="Arial"/>
          <w:lang w:val="ru-RU"/>
        </w:rPr>
        <w:t xml:space="preserve"> средств и </w:t>
      </w:r>
      <w:r w:rsidR="00F96365" w:rsidRPr="005F7836">
        <w:rPr>
          <w:rFonts w:cs="Arial"/>
          <w:lang w:val="ru-RU"/>
        </w:rPr>
        <w:t>инвестиционного фонда для</w:t>
      </w:r>
      <w:r w:rsidR="00110830" w:rsidRPr="005F7836">
        <w:rPr>
          <w:rFonts w:cs="Arial"/>
          <w:lang w:val="ru-RU"/>
        </w:rPr>
        <w:t xml:space="preserve"> привлечения </w:t>
      </w:r>
      <w:r w:rsidR="00724F51" w:rsidRPr="005F7836">
        <w:rPr>
          <w:rFonts w:cs="Arial"/>
          <w:lang w:val="ru-RU"/>
        </w:rPr>
        <w:t>средств</w:t>
      </w:r>
    </w:p>
    <w:p w14:paraId="69F12063" w14:textId="1CE82A2C" w:rsidR="00F177AA" w:rsidRPr="005F7836" w:rsidRDefault="00F177AA" w:rsidP="00724F51">
      <w:pPr>
        <w:pStyle w:val="CoDBullet"/>
        <w:numPr>
          <w:ilvl w:val="0"/>
          <w:numId w:val="0"/>
        </w:numPr>
        <w:ind w:left="360"/>
        <w:rPr>
          <w:rFonts w:cs="Arial"/>
          <w:lang w:val="ru-RU"/>
        </w:rPr>
      </w:pPr>
    </w:p>
    <w:p w14:paraId="32A01BE9" w14:textId="7B4C23B7" w:rsidR="00724F51" w:rsidRPr="005F7836" w:rsidRDefault="00F177AA" w:rsidP="00CF6EA7">
      <w:pPr>
        <w:pStyle w:val="CoDBullet"/>
        <w:rPr>
          <w:rFonts w:cs="Arial"/>
          <w:lang w:val="ru-RU"/>
        </w:rPr>
      </w:pPr>
      <w:r w:rsidRPr="005F7836">
        <w:rPr>
          <w:rFonts w:cs="Arial"/>
          <w:b/>
          <w:lang w:val="ru-RU"/>
        </w:rPr>
        <w:t>2018:</w:t>
      </w:r>
      <w:r w:rsidR="00724F51" w:rsidRPr="005F7836">
        <w:rPr>
          <w:rFonts w:cs="Arial"/>
          <w:lang w:val="ru-RU"/>
        </w:rPr>
        <w:t xml:space="preserve"> Создана площадка</w:t>
      </w:r>
      <w:r w:rsidR="00F96365" w:rsidRPr="005F7836">
        <w:rPr>
          <w:rFonts w:cs="Arial"/>
          <w:lang w:val="ru-RU"/>
        </w:rPr>
        <w:t>,</w:t>
      </w:r>
      <w:r w:rsidR="00724F51" w:rsidRPr="005F7836">
        <w:rPr>
          <w:rFonts w:cs="Arial"/>
          <w:lang w:val="ru-RU"/>
        </w:rPr>
        <w:t xml:space="preserve"> и начинается </w:t>
      </w:r>
      <w:r w:rsidR="00F96365" w:rsidRPr="005F7836">
        <w:rPr>
          <w:rFonts w:cs="Arial"/>
          <w:lang w:val="ru-RU"/>
        </w:rPr>
        <w:t xml:space="preserve">разработка основных программ под руководством Руководителя программ и надзором Группы управления программами. Осуществляется найм сотрудников </w:t>
      </w:r>
      <w:r w:rsidR="00724F51" w:rsidRPr="005F7836">
        <w:rPr>
          <w:rFonts w:cs="Arial"/>
          <w:lang w:val="ru-RU"/>
        </w:rPr>
        <w:t>програ</w:t>
      </w:r>
      <w:r w:rsidR="00F96365" w:rsidRPr="005F7836">
        <w:rPr>
          <w:rFonts w:cs="Arial"/>
          <w:lang w:val="ru-RU"/>
        </w:rPr>
        <w:t xml:space="preserve">мм </w:t>
      </w:r>
      <w:r w:rsidR="00724F51" w:rsidRPr="005F7836">
        <w:rPr>
          <w:rFonts w:cs="Arial"/>
          <w:lang w:val="ru-RU"/>
        </w:rPr>
        <w:t xml:space="preserve">для обеспечения </w:t>
      </w:r>
      <w:r w:rsidR="00F96365" w:rsidRPr="005F7836">
        <w:rPr>
          <w:rFonts w:cs="Arial"/>
          <w:lang w:val="ru-RU"/>
        </w:rPr>
        <w:t>функционирования</w:t>
      </w:r>
      <w:r w:rsidR="00724F51" w:rsidRPr="005F7836">
        <w:rPr>
          <w:rFonts w:cs="Arial"/>
          <w:lang w:val="ru-RU"/>
        </w:rPr>
        <w:t xml:space="preserve"> площадки.</w:t>
      </w:r>
      <w:r w:rsidR="00110830" w:rsidRPr="005F7836">
        <w:rPr>
          <w:rFonts w:cs="Arial"/>
          <w:lang w:val="ru-RU"/>
        </w:rPr>
        <w:t xml:space="preserve"> Масштабы участия</w:t>
      </w:r>
      <w:r w:rsidR="005428D4" w:rsidRPr="005F7836">
        <w:rPr>
          <w:rFonts w:cs="Arial"/>
          <w:lang w:val="ru-RU"/>
        </w:rPr>
        <w:t xml:space="preserve"> в партнерской проверке </w:t>
      </w:r>
      <w:r w:rsidR="00F96365" w:rsidRPr="005F7836">
        <w:rPr>
          <w:rFonts w:cs="Arial"/>
          <w:lang w:val="ru-RU"/>
        </w:rPr>
        <w:t>Международного</w:t>
      </w:r>
      <w:r w:rsidR="005428D4" w:rsidRPr="005F7836">
        <w:rPr>
          <w:rFonts w:cs="Arial"/>
          <w:lang w:val="ru-RU"/>
        </w:rPr>
        <w:t xml:space="preserve"> форума по обеспечению лидерства в области привлече</w:t>
      </w:r>
      <w:r w:rsidR="00110830" w:rsidRPr="005F7836">
        <w:rPr>
          <w:rFonts w:cs="Arial"/>
          <w:lang w:val="ru-RU"/>
        </w:rPr>
        <w:t>ния средств расширяю</w:t>
      </w:r>
      <w:r w:rsidR="00F96365" w:rsidRPr="005F7836">
        <w:rPr>
          <w:rFonts w:cs="Arial"/>
          <w:lang w:val="ru-RU"/>
        </w:rPr>
        <w:t>тся до 40 национальных обществ</w:t>
      </w:r>
      <w:r w:rsidR="005428D4" w:rsidRPr="005F7836">
        <w:rPr>
          <w:rFonts w:cs="Arial"/>
          <w:lang w:val="ru-RU"/>
        </w:rPr>
        <w:t xml:space="preserve"> (от нынешних 16</w:t>
      </w:r>
      <w:r w:rsidR="00F96365" w:rsidRPr="005F7836">
        <w:rPr>
          <w:rFonts w:cs="Arial"/>
          <w:lang w:val="ru-RU"/>
        </w:rPr>
        <w:t>, а также</w:t>
      </w:r>
      <w:r w:rsidR="005428D4" w:rsidRPr="005F7836">
        <w:rPr>
          <w:rFonts w:cs="Arial"/>
          <w:lang w:val="ru-RU"/>
        </w:rPr>
        <w:t xml:space="preserve"> МККК и МФОККиКП). Начинается сбор и анализ данн</w:t>
      </w:r>
      <w:r w:rsidR="00F96365" w:rsidRPr="005F7836">
        <w:rPr>
          <w:rFonts w:cs="Arial"/>
          <w:lang w:val="ru-RU"/>
        </w:rPr>
        <w:t>ых; работа по созданию фонда;</w:t>
      </w:r>
      <w:r w:rsidR="005428D4" w:rsidRPr="005F7836">
        <w:rPr>
          <w:rFonts w:cs="Arial"/>
          <w:lang w:val="ru-RU"/>
        </w:rPr>
        <w:t xml:space="preserve"> </w:t>
      </w:r>
      <w:r w:rsidR="00F96365" w:rsidRPr="005F7836">
        <w:rPr>
          <w:rFonts w:cs="Arial"/>
          <w:lang w:val="ru-RU"/>
        </w:rPr>
        <w:t>выявление примеров</w:t>
      </w:r>
      <w:r w:rsidR="005428D4" w:rsidRPr="005F7836">
        <w:rPr>
          <w:rFonts w:cs="Arial"/>
          <w:lang w:val="ru-RU"/>
        </w:rPr>
        <w:t xml:space="preserve"> передового опыта и обучение, в </w:t>
      </w:r>
      <w:r w:rsidR="00F96365" w:rsidRPr="005F7836">
        <w:rPr>
          <w:rFonts w:cs="Arial"/>
          <w:lang w:val="ru-RU"/>
        </w:rPr>
        <w:t>соответствии</w:t>
      </w:r>
      <w:r w:rsidR="005428D4" w:rsidRPr="005F7836">
        <w:rPr>
          <w:rFonts w:cs="Arial"/>
          <w:lang w:val="ru-RU"/>
        </w:rPr>
        <w:t xml:space="preserve"> с </w:t>
      </w:r>
      <w:bookmarkStart w:id="2" w:name="_GoBack"/>
      <w:r w:rsidR="00F96365" w:rsidRPr="005F7836">
        <w:rPr>
          <w:rFonts w:cs="Arial"/>
          <w:lang w:val="ru-RU"/>
        </w:rPr>
        <w:t>основанными</w:t>
      </w:r>
      <w:r w:rsidR="005428D4" w:rsidRPr="005F7836">
        <w:rPr>
          <w:rFonts w:cs="Arial"/>
          <w:lang w:val="ru-RU"/>
        </w:rPr>
        <w:t xml:space="preserve"> </w:t>
      </w:r>
      <w:r w:rsidR="00F96365" w:rsidRPr="005F7836">
        <w:rPr>
          <w:rFonts w:cs="Arial"/>
          <w:lang w:val="ru-RU"/>
        </w:rPr>
        <w:t xml:space="preserve">показателями эффективности, определяемыми Группой по </w:t>
      </w:r>
      <w:bookmarkEnd w:id="2"/>
      <w:r w:rsidR="00F96365" w:rsidRPr="005F7836">
        <w:rPr>
          <w:rFonts w:cs="Arial"/>
          <w:lang w:val="ru-RU"/>
        </w:rPr>
        <w:t>управлению программами. Группа проводит встречу в 2018 году, оценивает достигнутые результаты и  отчитывается перед</w:t>
      </w:r>
      <w:r w:rsidR="005428D4" w:rsidRPr="005F7836">
        <w:rPr>
          <w:rFonts w:cs="Arial"/>
          <w:lang w:val="ru-RU"/>
        </w:rPr>
        <w:t xml:space="preserve"> “инвесторам</w:t>
      </w:r>
      <w:r w:rsidR="00F96365" w:rsidRPr="005F7836">
        <w:rPr>
          <w:rFonts w:cs="Arial"/>
          <w:lang w:val="ru-RU"/>
        </w:rPr>
        <w:t xml:space="preserve">и” </w:t>
      </w:r>
      <w:r w:rsidR="005428D4" w:rsidRPr="005F7836">
        <w:rPr>
          <w:rFonts w:cs="Arial"/>
          <w:lang w:val="ru-RU"/>
        </w:rPr>
        <w:t>Движения.</w:t>
      </w:r>
    </w:p>
    <w:p w14:paraId="27C9152A" w14:textId="77777777" w:rsidR="00724F51" w:rsidRPr="005F7836" w:rsidRDefault="00724F51" w:rsidP="00724F51">
      <w:pPr>
        <w:pStyle w:val="CoDBullet"/>
        <w:numPr>
          <w:ilvl w:val="0"/>
          <w:numId w:val="0"/>
        </w:numPr>
        <w:rPr>
          <w:rFonts w:cs="Arial"/>
          <w:lang w:val="ru-RU"/>
        </w:rPr>
      </w:pPr>
    </w:p>
    <w:p w14:paraId="60E8E74F" w14:textId="514A4D41" w:rsidR="005428D4" w:rsidRPr="005F7836" w:rsidRDefault="00354E8E" w:rsidP="00CF6EA7">
      <w:pPr>
        <w:pStyle w:val="CoDBullet"/>
        <w:rPr>
          <w:rFonts w:cs="Arial"/>
          <w:lang w:val="ru-RU"/>
        </w:rPr>
      </w:pPr>
      <w:r w:rsidRPr="005F7836">
        <w:rPr>
          <w:rFonts w:cs="Arial"/>
          <w:b/>
          <w:lang w:val="ru-RU"/>
        </w:rPr>
        <w:t>2019:</w:t>
      </w:r>
      <w:r w:rsidR="005428D4" w:rsidRPr="005F7836">
        <w:rPr>
          <w:rFonts w:cs="Arial"/>
          <w:lang w:val="ru-RU"/>
        </w:rPr>
        <w:t xml:space="preserve"> Работа расширяется</w:t>
      </w:r>
      <w:r w:rsidRPr="005F7836">
        <w:rPr>
          <w:rFonts w:cs="Arial"/>
          <w:lang w:val="ru-RU"/>
        </w:rPr>
        <w:t xml:space="preserve">, </w:t>
      </w:r>
      <w:r w:rsidR="005428D4" w:rsidRPr="005F7836">
        <w:rPr>
          <w:rFonts w:cs="Arial"/>
          <w:lang w:val="ru-RU"/>
        </w:rPr>
        <w:t xml:space="preserve">и </w:t>
      </w:r>
      <w:r w:rsidR="00F96365" w:rsidRPr="005F7836">
        <w:rPr>
          <w:rFonts w:cs="Arial"/>
          <w:lang w:val="ru-RU"/>
        </w:rPr>
        <w:t>в партнерской проверке участвует еще больше национальных обществ</w:t>
      </w:r>
      <w:r w:rsidR="005428D4" w:rsidRPr="005F7836">
        <w:rPr>
          <w:rFonts w:cs="Arial"/>
          <w:lang w:val="ru-RU"/>
        </w:rPr>
        <w:t xml:space="preserve">. </w:t>
      </w:r>
      <w:r w:rsidR="00331632" w:rsidRPr="005F7836">
        <w:rPr>
          <w:rFonts w:cs="Arial"/>
          <w:lang w:val="ru-RU"/>
        </w:rPr>
        <w:t xml:space="preserve">Международным инвесторам предоставляется </w:t>
      </w:r>
      <w:r w:rsidR="00F96365" w:rsidRPr="005F7836">
        <w:rPr>
          <w:rFonts w:cs="Arial"/>
          <w:lang w:val="ru-RU"/>
        </w:rPr>
        <w:t>подробная информация по первоначальным инвестициям, при этом,</w:t>
      </w:r>
      <w:r w:rsidR="00331632" w:rsidRPr="005F7836">
        <w:rPr>
          <w:rFonts w:cs="Arial"/>
          <w:lang w:val="ru-RU"/>
        </w:rPr>
        <w:t xml:space="preserve"> </w:t>
      </w:r>
      <w:r w:rsidR="00DD31B0" w:rsidRPr="005F7836">
        <w:rPr>
          <w:rFonts w:cs="Arial"/>
          <w:lang w:val="ru-RU"/>
        </w:rPr>
        <w:t>инвестиционный подход пересматривается</w:t>
      </w:r>
      <w:r w:rsidR="00F96365" w:rsidRPr="005F7836">
        <w:rPr>
          <w:rFonts w:cs="Arial"/>
          <w:lang w:val="ru-RU"/>
        </w:rPr>
        <w:t>, на основании выдвигаемых</w:t>
      </w:r>
      <w:r w:rsidR="00DD31B0" w:rsidRPr="005F7836">
        <w:rPr>
          <w:rFonts w:cs="Arial"/>
          <w:lang w:val="ru-RU"/>
        </w:rPr>
        <w:t xml:space="preserve"> требований.</w:t>
      </w:r>
      <w:r w:rsidR="00331632" w:rsidRPr="005F7836">
        <w:rPr>
          <w:rFonts w:cs="Arial"/>
          <w:lang w:val="ru-RU"/>
        </w:rPr>
        <w:t xml:space="preserve"> </w:t>
      </w:r>
      <w:r w:rsidR="00F96365" w:rsidRPr="005F7836">
        <w:rPr>
          <w:rFonts w:cs="Arial"/>
          <w:lang w:val="ru-RU"/>
        </w:rPr>
        <w:t>МККК, МФОККиКП и национальные общества направляют отчет о проделанной работе</w:t>
      </w:r>
      <w:r w:rsidR="00DD31B0" w:rsidRPr="005F7836">
        <w:rPr>
          <w:rFonts w:cs="Arial"/>
          <w:lang w:val="ru-RU"/>
        </w:rPr>
        <w:t xml:space="preserve"> </w:t>
      </w:r>
      <w:r w:rsidR="00F96365" w:rsidRPr="005F7836">
        <w:rPr>
          <w:rFonts w:cs="Arial"/>
          <w:lang w:val="ru-RU"/>
        </w:rPr>
        <w:t>Совету</w:t>
      </w:r>
      <w:r w:rsidR="00DD31B0" w:rsidRPr="005F7836">
        <w:rPr>
          <w:rFonts w:cs="Arial"/>
          <w:lang w:val="ru-RU"/>
        </w:rPr>
        <w:t xml:space="preserve"> делегатов 2019 года.</w:t>
      </w:r>
    </w:p>
    <w:p w14:paraId="02CC6A57" w14:textId="77777777" w:rsidR="005428D4" w:rsidRPr="005F7836" w:rsidRDefault="005428D4" w:rsidP="005428D4">
      <w:pPr>
        <w:pStyle w:val="CoDBullet"/>
        <w:numPr>
          <w:ilvl w:val="0"/>
          <w:numId w:val="0"/>
        </w:numPr>
        <w:rPr>
          <w:rFonts w:cs="Arial"/>
          <w:lang w:val="ru-RU"/>
        </w:rPr>
      </w:pPr>
    </w:p>
    <w:p w14:paraId="7926A840" w14:textId="74A6888A" w:rsidR="00DD31B0" w:rsidRPr="005F7836" w:rsidRDefault="00354E8E" w:rsidP="00CF6EA7">
      <w:pPr>
        <w:pStyle w:val="CoDBullet"/>
        <w:rPr>
          <w:rFonts w:cs="Arial"/>
          <w:lang w:val="ru-RU"/>
        </w:rPr>
      </w:pPr>
      <w:r w:rsidRPr="005F7836">
        <w:rPr>
          <w:rFonts w:cs="Arial"/>
          <w:b/>
          <w:lang w:val="ru-RU"/>
        </w:rPr>
        <w:t>2020</w:t>
      </w:r>
      <w:r w:rsidR="002624AF" w:rsidRPr="005F7836">
        <w:rPr>
          <w:rFonts w:cs="Arial"/>
          <w:b/>
          <w:lang w:val="ru-RU"/>
        </w:rPr>
        <w:t>:</w:t>
      </w:r>
      <w:r w:rsidR="002624AF" w:rsidRPr="005F7836">
        <w:rPr>
          <w:rFonts w:cs="Arial"/>
          <w:lang w:val="ru-RU"/>
        </w:rPr>
        <w:t xml:space="preserve"> </w:t>
      </w:r>
      <w:r w:rsidR="00D6482F" w:rsidRPr="005F7836">
        <w:rPr>
          <w:rFonts w:cs="Arial"/>
          <w:lang w:val="ru-RU"/>
        </w:rPr>
        <w:t>Число национальных обществ</w:t>
      </w:r>
      <w:r w:rsidR="00DD31B0" w:rsidRPr="005F7836">
        <w:rPr>
          <w:rFonts w:cs="Arial"/>
          <w:lang w:val="ru-RU"/>
        </w:rPr>
        <w:t>, принимающих участие в сборе данных продолжает</w:t>
      </w:r>
      <w:r w:rsidR="00D6482F" w:rsidRPr="005F7836">
        <w:rPr>
          <w:rFonts w:cs="Arial"/>
          <w:lang w:val="ru-RU"/>
        </w:rPr>
        <w:t xml:space="preserve"> расти. Инвестиции в систему привлечения средств со стороны национальных обществ расширяю</w:t>
      </w:r>
      <w:r w:rsidR="00DD31B0" w:rsidRPr="005F7836">
        <w:rPr>
          <w:rFonts w:cs="Arial"/>
          <w:lang w:val="ru-RU"/>
        </w:rPr>
        <w:t xml:space="preserve">тся, и </w:t>
      </w:r>
      <w:r w:rsidR="00D6482F" w:rsidRPr="005F7836">
        <w:rPr>
          <w:rFonts w:cs="Arial"/>
          <w:lang w:val="ru-RU"/>
        </w:rPr>
        <w:t>разрабатывается</w:t>
      </w:r>
      <w:r w:rsidR="00DD31B0" w:rsidRPr="005F7836">
        <w:rPr>
          <w:rFonts w:cs="Arial"/>
          <w:lang w:val="ru-RU"/>
        </w:rPr>
        <w:t xml:space="preserve"> крупномасштабная схема самофинансирования для облегчения двустороннего и </w:t>
      </w:r>
      <w:r w:rsidR="00D6482F" w:rsidRPr="005F7836">
        <w:rPr>
          <w:rFonts w:cs="Arial"/>
          <w:lang w:val="ru-RU"/>
        </w:rPr>
        <w:t>многостороннего</w:t>
      </w:r>
      <w:r w:rsidR="00DD31B0" w:rsidRPr="005F7836">
        <w:rPr>
          <w:rFonts w:cs="Arial"/>
          <w:lang w:val="ru-RU"/>
        </w:rPr>
        <w:t xml:space="preserve"> сотрудничества в будущем. К 2020 году площадка становится </w:t>
      </w:r>
      <w:r w:rsidR="00D6482F" w:rsidRPr="005F7836">
        <w:rPr>
          <w:rFonts w:cs="Arial"/>
          <w:lang w:val="ru-RU"/>
        </w:rPr>
        <w:t>признаний</w:t>
      </w:r>
      <w:r w:rsidR="00DD31B0" w:rsidRPr="005F7836">
        <w:rPr>
          <w:rFonts w:cs="Arial"/>
          <w:lang w:val="ru-RU"/>
        </w:rPr>
        <w:t xml:space="preserve"> </w:t>
      </w:r>
      <w:r w:rsidR="00D6482F" w:rsidRPr="005F7836">
        <w:rPr>
          <w:rFonts w:cs="Arial"/>
          <w:lang w:val="ru-RU"/>
        </w:rPr>
        <w:t>глобальной платформой по развитию</w:t>
      </w:r>
      <w:r w:rsidR="00DD31B0" w:rsidRPr="005F7836">
        <w:rPr>
          <w:rFonts w:cs="Arial"/>
          <w:lang w:val="ru-RU"/>
        </w:rPr>
        <w:t xml:space="preserve"> усилий </w:t>
      </w:r>
      <w:r w:rsidR="00D6482F" w:rsidRPr="005F7836">
        <w:rPr>
          <w:rFonts w:cs="Arial"/>
          <w:lang w:val="ru-RU"/>
        </w:rPr>
        <w:t>Движения</w:t>
      </w:r>
      <w:r w:rsidR="006628B8" w:rsidRPr="005F7836">
        <w:rPr>
          <w:rFonts w:cs="Arial"/>
          <w:lang w:val="ru-RU"/>
        </w:rPr>
        <w:t xml:space="preserve"> по привлечению средств.  Приоритетное внимание уделяется оказанию</w:t>
      </w:r>
      <w:r w:rsidR="00DD31B0" w:rsidRPr="005F7836">
        <w:rPr>
          <w:rFonts w:cs="Arial"/>
          <w:lang w:val="ru-RU"/>
        </w:rPr>
        <w:t xml:space="preserve"> догов</w:t>
      </w:r>
      <w:r w:rsidR="006628B8" w:rsidRPr="005F7836">
        <w:rPr>
          <w:rFonts w:cs="Arial"/>
          <w:lang w:val="ru-RU"/>
        </w:rPr>
        <w:t>орных услуг</w:t>
      </w:r>
      <w:r w:rsidR="00DD31B0" w:rsidRPr="005F7836">
        <w:rPr>
          <w:rFonts w:cs="Arial"/>
          <w:lang w:val="ru-RU"/>
        </w:rPr>
        <w:t xml:space="preserve">, </w:t>
      </w:r>
      <w:r w:rsidR="006628B8" w:rsidRPr="005F7836">
        <w:rPr>
          <w:rFonts w:cs="Arial"/>
          <w:lang w:val="ru-RU"/>
        </w:rPr>
        <w:t>индивидуальным пожертвованиям</w:t>
      </w:r>
      <w:r w:rsidR="00DD31B0" w:rsidRPr="005F7836">
        <w:rPr>
          <w:rFonts w:cs="Arial"/>
          <w:lang w:val="ru-RU"/>
        </w:rPr>
        <w:t>, и</w:t>
      </w:r>
      <w:r w:rsidR="006628B8" w:rsidRPr="005F7836">
        <w:rPr>
          <w:rFonts w:cs="Arial"/>
          <w:lang w:val="ru-RU"/>
        </w:rPr>
        <w:t>нновациям, глобальным</w:t>
      </w:r>
      <w:r w:rsidR="00DD31B0" w:rsidRPr="005F7836">
        <w:rPr>
          <w:rFonts w:cs="Arial"/>
          <w:lang w:val="ru-RU"/>
        </w:rPr>
        <w:t xml:space="preserve"> </w:t>
      </w:r>
      <w:r w:rsidR="006628B8" w:rsidRPr="005F7836">
        <w:rPr>
          <w:rFonts w:cs="Arial"/>
          <w:lang w:val="ru-RU"/>
        </w:rPr>
        <w:t>обращениям о сборе средств и высокоуровневым благотворительным инициативам</w:t>
      </w:r>
      <w:r w:rsidR="00DD31B0" w:rsidRPr="005F7836">
        <w:rPr>
          <w:rFonts w:cs="Arial"/>
          <w:lang w:val="ru-RU"/>
        </w:rPr>
        <w:t>.</w:t>
      </w:r>
    </w:p>
    <w:p w14:paraId="4DCB9AB6" w14:textId="77777777" w:rsidR="00DD31B0" w:rsidRPr="005F7836" w:rsidRDefault="00DD31B0" w:rsidP="00DD31B0">
      <w:pPr>
        <w:pStyle w:val="CoDBullet"/>
        <w:numPr>
          <w:ilvl w:val="0"/>
          <w:numId w:val="0"/>
        </w:numPr>
        <w:rPr>
          <w:rFonts w:cs="Arial"/>
          <w:lang w:val="ru-RU"/>
        </w:rPr>
      </w:pPr>
    </w:p>
    <w:p w14:paraId="76FC6F9E" w14:textId="4D5BD3B0" w:rsidR="001E181C" w:rsidRPr="005F7836" w:rsidRDefault="00DD31B0" w:rsidP="00CF6EA7">
      <w:pPr>
        <w:pStyle w:val="CoDBullet"/>
        <w:rPr>
          <w:rFonts w:cs="Arial"/>
          <w:lang w:val="ru-RU"/>
        </w:rPr>
      </w:pPr>
      <w:r w:rsidRPr="005F7836">
        <w:rPr>
          <w:rFonts w:cs="Arial"/>
          <w:lang w:val="ru-RU"/>
        </w:rPr>
        <w:t>Использует</w:t>
      </w:r>
      <w:r w:rsidR="006628B8" w:rsidRPr="005F7836">
        <w:rPr>
          <w:rFonts w:cs="Arial"/>
          <w:lang w:val="ru-RU"/>
        </w:rPr>
        <w:t>ся целевой подход для создания реестра специалистов, групп по интересам и системы обучения</w:t>
      </w:r>
      <w:r w:rsidRPr="005F7836">
        <w:rPr>
          <w:rFonts w:cs="Arial"/>
          <w:lang w:val="ru-RU"/>
        </w:rPr>
        <w:t xml:space="preserve">; они поддерживают площадку в достижении ее целей. </w:t>
      </w:r>
    </w:p>
    <w:sectPr w:rsidR="001E181C" w:rsidRPr="005F7836" w:rsidSect="005E4B7C">
      <w:headerReference w:type="even" r:id="rId23"/>
      <w:headerReference w:type="default" r:id="rId24"/>
      <w:headerReference w:type="first" r:id="rId25"/>
      <w:footerReference w:type="first" r:id="rId2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88619" w14:textId="77777777" w:rsidR="008073DB" w:rsidRDefault="008073DB">
      <w:r>
        <w:separator/>
      </w:r>
    </w:p>
  </w:endnote>
  <w:endnote w:type="continuationSeparator" w:id="0">
    <w:p w14:paraId="5CF435A9" w14:textId="77777777" w:rsidR="008073DB" w:rsidRDefault="008073DB">
      <w:r>
        <w:continuationSeparator/>
      </w:r>
    </w:p>
  </w:endnote>
  <w:endnote w:type="continuationNotice" w:id="1">
    <w:p w14:paraId="78A295E0" w14:textId="77777777" w:rsidR="008073DB" w:rsidRDefault="00807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新細明體">
    <w:charset w:val="51"/>
    <w:family w:val="auto"/>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Caecilia LT Std Light">
    <w:altName w:val="Cambria"/>
    <w:panose1 w:val="00000000000000000000"/>
    <w:charset w:val="00"/>
    <w:family w:val="roman"/>
    <w:notTrueType/>
    <w:pitch w:val="default"/>
    <w:sig w:usb0="00000003" w:usb1="00000000" w:usb2="00000000" w:usb3="00000000" w:csb0="00000001" w:csb1="00000000"/>
  </w:font>
  <w:font w:name="Caecilia LT Std 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7AE69" w14:textId="77777777" w:rsidR="008073DB" w:rsidRDefault="008073DB" w:rsidP="0065051C">
    <w:pPr>
      <w:pStyle w:val="ac"/>
      <w:jc w:val="center"/>
    </w:pPr>
  </w:p>
  <w:p w14:paraId="610AADF0" w14:textId="77777777" w:rsidR="008073DB" w:rsidRDefault="008073DB">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565C4" w14:textId="77777777" w:rsidR="008073DB" w:rsidRPr="00883D98" w:rsidRDefault="008073DB">
    <w:pPr>
      <w:pStyle w:val="ac"/>
      <w:jc w:val="center"/>
      <w:rPr>
        <w:rFonts w:ascii="Arial" w:hAnsi="Arial" w:cs="Arial"/>
        <w:sz w:val="18"/>
        <w:szCs w:val="18"/>
      </w:rPr>
    </w:pPr>
  </w:p>
  <w:p w14:paraId="54BDD31D" w14:textId="77777777" w:rsidR="008073DB" w:rsidRPr="00883D98" w:rsidRDefault="008073DB">
    <w:pPr>
      <w:pStyle w:val="ac"/>
      <w:rPr>
        <w:u w:val="singl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AE445" w14:textId="77777777" w:rsidR="008073DB" w:rsidRDefault="008073DB">
      <w:r>
        <w:separator/>
      </w:r>
    </w:p>
  </w:footnote>
  <w:footnote w:type="continuationSeparator" w:id="0">
    <w:p w14:paraId="46A941E1" w14:textId="77777777" w:rsidR="008073DB" w:rsidRDefault="008073DB">
      <w:r>
        <w:continuationSeparator/>
      </w:r>
    </w:p>
  </w:footnote>
  <w:footnote w:type="continuationNotice" w:id="1">
    <w:p w14:paraId="52A89E9E" w14:textId="77777777" w:rsidR="008073DB" w:rsidRDefault="008073DB"/>
  </w:footnote>
  <w:footnote w:id="2">
    <w:p w14:paraId="569487C4" w14:textId="78505903" w:rsidR="008073DB" w:rsidRPr="00966AE8" w:rsidRDefault="008073DB" w:rsidP="00F02EAF">
      <w:pPr>
        <w:pStyle w:val="CoDFootnote"/>
        <w:rPr>
          <w:lang w:val="en-US"/>
        </w:rPr>
      </w:pPr>
      <w:r w:rsidRPr="00292427">
        <w:rPr>
          <w:rStyle w:val="af4"/>
        </w:rPr>
        <w:footnoteRef/>
      </w:r>
      <w:r w:rsidRPr="00E5344B">
        <w:t xml:space="preserve"> </w:t>
      </w:r>
      <w:r>
        <w:rPr>
          <w:lang w:val="ru-RU"/>
        </w:rPr>
        <w:t>Авторы о</w:t>
      </w:r>
      <w:r w:rsidRPr="0099322E">
        <w:rPr>
          <w:lang w:val="ru-RU"/>
        </w:rPr>
        <w:t>тчет</w:t>
      </w:r>
      <w:r>
        <w:rPr>
          <w:lang w:val="ru-RU"/>
        </w:rPr>
        <w:t>а</w:t>
      </w:r>
      <w:r w:rsidRPr="0099322E">
        <w:rPr>
          <w:lang w:val="ru-RU"/>
        </w:rPr>
        <w:t xml:space="preserve"> Высокоуровневой группы по сбору средств на осуществление гуманитарной деятельности  Генеральному секретарю ООН, </w:t>
      </w:r>
      <w:r>
        <w:rPr>
          <w:b/>
          <w:i/>
          <w:lang w:val="ru-RU"/>
        </w:rPr>
        <w:t>Слишком важная задача, чтобы с ней не справиться</w:t>
      </w:r>
      <w:r w:rsidRPr="0099322E">
        <w:rPr>
          <w:b/>
          <w:i/>
          <w:lang w:val="ru-RU"/>
        </w:rPr>
        <w:t>: Устранение пробелов в финансировании гуманитарной деятельности</w:t>
      </w:r>
      <w:r>
        <w:rPr>
          <w:i/>
          <w:lang w:val="ru-RU"/>
        </w:rPr>
        <w:t xml:space="preserve"> оцениваю</w:t>
      </w:r>
      <w:r w:rsidRPr="0099322E">
        <w:rPr>
          <w:i/>
          <w:lang w:val="ru-RU"/>
        </w:rPr>
        <w:t>т нехватку средств на уровне около 15 миллиардов долларов США</w:t>
      </w:r>
      <w:r w:rsidRPr="0099322E">
        <w:rPr>
          <w:lang w:val="ru-RU"/>
        </w:rPr>
        <w:t>.</w:t>
      </w:r>
    </w:p>
  </w:footnote>
  <w:footnote w:id="3">
    <w:p w14:paraId="1B295FC5" w14:textId="5EA10C12" w:rsidR="008073DB" w:rsidRPr="006002F8" w:rsidRDefault="008073DB" w:rsidP="00F02EAF">
      <w:pPr>
        <w:pStyle w:val="CoDFootnote"/>
        <w:rPr>
          <w:sz w:val="22"/>
        </w:rPr>
      </w:pPr>
      <w:r>
        <w:rPr>
          <w:rStyle w:val="af4"/>
        </w:rPr>
        <w:footnoteRef/>
      </w:r>
      <w:r w:rsidRPr="00122595">
        <w:t xml:space="preserve"> </w:t>
      </w:r>
      <w:r w:rsidRPr="00AC0EAF">
        <w:rPr>
          <w:b/>
          <w:lang w:val="ru-RU"/>
        </w:rPr>
        <w:t>Африка</w:t>
      </w:r>
      <w:r w:rsidRPr="00AC0EAF">
        <w:rPr>
          <w:lang w:val="ru-RU"/>
        </w:rPr>
        <w:t>: Гана</w:t>
      </w:r>
      <w:r>
        <w:rPr>
          <w:lang w:val="ru-RU"/>
        </w:rPr>
        <w:t xml:space="preserve">, Кения, </w:t>
      </w:r>
      <w:r w:rsidRPr="00AC0EAF">
        <w:rPr>
          <w:lang w:val="ru-RU"/>
        </w:rPr>
        <w:t>Кот-д’Ивуар</w:t>
      </w:r>
      <w:r>
        <w:rPr>
          <w:lang w:val="ru-RU"/>
        </w:rPr>
        <w:t xml:space="preserve">, Эфиопия, </w:t>
      </w:r>
      <w:r w:rsidRPr="00AC0EAF">
        <w:rPr>
          <w:lang w:val="ru-RU"/>
        </w:rPr>
        <w:t xml:space="preserve"> Южный Судан; </w:t>
      </w:r>
      <w:r w:rsidRPr="00AC0EAF">
        <w:rPr>
          <w:b/>
          <w:lang w:val="ru-RU"/>
        </w:rPr>
        <w:t>Южная и Северная Америка</w:t>
      </w:r>
      <w:r>
        <w:rPr>
          <w:lang w:val="ru-RU"/>
        </w:rPr>
        <w:t>: Канада, Колумбия, Коста-Рика</w:t>
      </w:r>
      <w:r w:rsidRPr="00AC0EAF">
        <w:rPr>
          <w:lang w:val="ru-RU"/>
        </w:rPr>
        <w:t>, Мексика, США</w:t>
      </w:r>
      <w:r>
        <w:rPr>
          <w:lang w:val="ru-RU"/>
        </w:rPr>
        <w:t xml:space="preserve">, </w:t>
      </w:r>
      <w:r w:rsidRPr="00AC0EAF">
        <w:rPr>
          <w:lang w:val="ru-RU"/>
        </w:rPr>
        <w:t xml:space="preserve">Ямайка; </w:t>
      </w:r>
      <w:r w:rsidRPr="00AC0EAF">
        <w:rPr>
          <w:b/>
          <w:lang w:val="ru-RU"/>
        </w:rPr>
        <w:t>Азиатско-Тихоокеанский регион</w:t>
      </w:r>
      <w:r w:rsidRPr="00AC0EAF">
        <w:rPr>
          <w:lang w:val="ru-RU"/>
        </w:rPr>
        <w:t xml:space="preserve">: Австралия, </w:t>
      </w:r>
      <w:r>
        <w:rPr>
          <w:lang w:val="ru-RU"/>
        </w:rPr>
        <w:t xml:space="preserve">Вьетнам, </w:t>
      </w:r>
      <w:r w:rsidRPr="00AC0EAF">
        <w:rPr>
          <w:lang w:val="ru-RU"/>
        </w:rPr>
        <w:t>Китай, Новая Зеланди</w:t>
      </w:r>
      <w:r>
        <w:rPr>
          <w:lang w:val="ru-RU"/>
        </w:rPr>
        <w:t>я, Таиланд, Южная Корея,</w:t>
      </w:r>
      <w:r w:rsidRPr="00AC0EAF">
        <w:rPr>
          <w:lang w:val="ru-RU"/>
        </w:rPr>
        <w:t xml:space="preserve"> Япония; </w:t>
      </w:r>
      <w:r w:rsidRPr="00AC0EAF">
        <w:rPr>
          <w:b/>
          <w:lang w:val="ru-RU"/>
        </w:rPr>
        <w:t>Европа и Центральная Азия</w:t>
      </w:r>
      <w:r>
        <w:rPr>
          <w:lang w:val="ru-RU"/>
        </w:rPr>
        <w:t>: Азербайджан, Великобритания</w:t>
      </w:r>
      <w:r w:rsidRPr="00AC0EAF">
        <w:rPr>
          <w:lang w:val="ru-RU"/>
        </w:rPr>
        <w:t xml:space="preserve">, Германия, </w:t>
      </w:r>
      <w:r>
        <w:rPr>
          <w:lang w:val="ru-RU"/>
        </w:rPr>
        <w:t xml:space="preserve">Дания, </w:t>
      </w:r>
      <w:r w:rsidRPr="00AC0EAF">
        <w:rPr>
          <w:lang w:val="ru-RU"/>
        </w:rPr>
        <w:t xml:space="preserve">Ирландия, </w:t>
      </w:r>
      <w:r>
        <w:rPr>
          <w:lang w:val="ru-RU"/>
        </w:rPr>
        <w:t xml:space="preserve">Испания, </w:t>
      </w:r>
      <w:r w:rsidRPr="00AC0EAF">
        <w:rPr>
          <w:lang w:val="ru-RU"/>
        </w:rPr>
        <w:t>Нид</w:t>
      </w:r>
      <w:r>
        <w:rPr>
          <w:lang w:val="ru-RU"/>
        </w:rPr>
        <w:t>ерланды, Норвегия, Турция, Швейцария</w:t>
      </w:r>
      <w:r w:rsidRPr="00AC0EAF">
        <w:rPr>
          <w:lang w:val="ru-RU"/>
        </w:rPr>
        <w:t xml:space="preserve">; </w:t>
      </w:r>
      <w:r w:rsidRPr="00AC0EAF">
        <w:rPr>
          <w:b/>
          <w:lang w:val="ru-RU"/>
        </w:rPr>
        <w:t>Ближний Восток и Северная Африка</w:t>
      </w:r>
      <w:r>
        <w:rPr>
          <w:lang w:val="ru-RU"/>
        </w:rPr>
        <w:t>: Египет, Ирак, Иран</w:t>
      </w:r>
      <w:r w:rsidRPr="00AC0EAF">
        <w:rPr>
          <w:lang w:val="ru-RU"/>
        </w:rPr>
        <w:t xml:space="preserve">, </w:t>
      </w:r>
      <w:r>
        <w:rPr>
          <w:lang w:val="ru-RU"/>
        </w:rPr>
        <w:t>Катар, Ливан</w:t>
      </w:r>
      <w:r>
        <w:t>.</w:t>
      </w:r>
    </w:p>
    <w:p w14:paraId="1D4BBBD2" w14:textId="77777777" w:rsidR="008073DB" w:rsidRPr="00122595" w:rsidRDefault="008073DB">
      <w:pPr>
        <w:pStyle w:val="af2"/>
      </w:pPr>
    </w:p>
  </w:footnote>
  <w:footnote w:id="4">
    <w:p w14:paraId="7D71240D" w14:textId="67D9AC01" w:rsidR="008073DB" w:rsidRPr="00A56069" w:rsidRDefault="008073DB" w:rsidP="00BD5A7E">
      <w:pPr>
        <w:pStyle w:val="CoDFootnote"/>
        <w:rPr>
          <w:lang w:val="ru-RU"/>
        </w:rPr>
      </w:pPr>
      <w:r w:rsidRPr="00292427">
        <w:rPr>
          <w:vertAlign w:val="superscript"/>
          <w:lang w:val="en-US"/>
        </w:rPr>
        <w:footnoteRef/>
      </w:r>
      <w:r w:rsidRPr="00292427">
        <w:rPr>
          <w:vertAlign w:val="superscript"/>
          <w:lang w:val="en-US"/>
        </w:rPr>
        <w:t xml:space="preserve"> </w:t>
      </w:r>
      <w:r w:rsidRPr="00A56069">
        <w:rPr>
          <w:lang w:val="ru-RU"/>
        </w:rPr>
        <w:t xml:space="preserve">Участники Международного форума по обеспечению лидерства в области привлечения средств: организации </w:t>
      </w:r>
      <w:r w:rsidRPr="00A56069">
        <w:rPr>
          <w:i/>
          <w:lang w:val="ru-RU"/>
        </w:rPr>
        <w:t>Amnesty International</w:t>
      </w:r>
      <w:r w:rsidRPr="00A56069">
        <w:rPr>
          <w:lang w:val="ru-RU"/>
        </w:rPr>
        <w:t xml:space="preserve">, </w:t>
      </w:r>
      <w:r w:rsidRPr="00A56069">
        <w:rPr>
          <w:i/>
          <w:lang w:val="ru-RU"/>
        </w:rPr>
        <w:t>ActionAid</w:t>
      </w:r>
      <w:r w:rsidRPr="00A56069">
        <w:rPr>
          <w:lang w:val="ru-RU"/>
        </w:rPr>
        <w:t xml:space="preserve">, Care </w:t>
      </w:r>
      <w:r w:rsidRPr="00A56069">
        <w:rPr>
          <w:i/>
          <w:lang w:val="ru-RU"/>
        </w:rPr>
        <w:t>International</w:t>
      </w:r>
      <w:r w:rsidRPr="00A56069">
        <w:rPr>
          <w:lang w:val="ru-RU"/>
        </w:rPr>
        <w:t xml:space="preserve">, </w:t>
      </w:r>
      <w:r w:rsidRPr="00A56069">
        <w:rPr>
          <w:i/>
          <w:lang w:val="ru-RU"/>
        </w:rPr>
        <w:t>Greenpeace</w:t>
      </w:r>
      <w:r w:rsidRPr="00A56069">
        <w:rPr>
          <w:lang w:val="ru-RU"/>
        </w:rPr>
        <w:t xml:space="preserve">, </w:t>
      </w:r>
      <w:r w:rsidRPr="00A56069">
        <w:rPr>
          <w:i/>
          <w:lang w:val="ru-RU"/>
        </w:rPr>
        <w:t>Врачи без границ</w:t>
      </w:r>
      <w:r w:rsidRPr="00A56069">
        <w:rPr>
          <w:lang w:val="ru-RU"/>
        </w:rPr>
        <w:t xml:space="preserve">, </w:t>
      </w:r>
      <w:r w:rsidRPr="00A56069">
        <w:rPr>
          <w:i/>
          <w:lang w:val="ru-RU"/>
        </w:rPr>
        <w:t>Operation Smile</w:t>
      </w:r>
      <w:r w:rsidRPr="00A56069">
        <w:rPr>
          <w:lang w:val="ru-RU"/>
        </w:rPr>
        <w:t xml:space="preserve">, </w:t>
      </w:r>
      <w:r w:rsidRPr="00A56069">
        <w:rPr>
          <w:i/>
          <w:lang w:val="ru-RU"/>
        </w:rPr>
        <w:t>Oxfam</w:t>
      </w:r>
      <w:r w:rsidRPr="00A56069">
        <w:rPr>
          <w:lang w:val="ru-RU"/>
        </w:rPr>
        <w:t xml:space="preserve">, </w:t>
      </w:r>
      <w:r w:rsidRPr="00A56069">
        <w:rPr>
          <w:i/>
          <w:lang w:val="ru-RU"/>
        </w:rPr>
        <w:t>Спасем детей</w:t>
      </w:r>
      <w:r w:rsidRPr="00A56069">
        <w:rPr>
          <w:lang w:val="ru-RU"/>
        </w:rPr>
        <w:t xml:space="preserve">, </w:t>
      </w:r>
      <w:r w:rsidRPr="00A56069">
        <w:rPr>
          <w:i/>
          <w:lang w:val="ru-RU"/>
        </w:rPr>
        <w:t>Детские деревни SOS</w:t>
      </w:r>
      <w:r w:rsidRPr="00A56069">
        <w:rPr>
          <w:lang w:val="ru-RU"/>
        </w:rPr>
        <w:t xml:space="preserve">, </w:t>
      </w:r>
      <w:r w:rsidRPr="00A56069">
        <w:rPr>
          <w:i/>
          <w:lang w:val="ru-RU"/>
        </w:rPr>
        <w:t>УВКБ ООН</w:t>
      </w:r>
      <w:r w:rsidRPr="00A56069">
        <w:rPr>
          <w:lang w:val="ru-RU"/>
        </w:rPr>
        <w:t xml:space="preserve">, </w:t>
      </w:r>
      <w:r w:rsidRPr="00A56069">
        <w:rPr>
          <w:i/>
          <w:lang w:val="ru-RU"/>
        </w:rPr>
        <w:t>ЮНИСЕФ</w:t>
      </w:r>
      <w:r w:rsidRPr="00A56069">
        <w:rPr>
          <w:lang w:val="ru-RU"/>
        </w:rPr>
        <w:t xml:space="preserve">, </w:t>
      </w:r>
      <w:r w:rsidRPr="00A56069">
        <w:rPr>
          <w:i/>
          <w:lang w:val="ru-RU"/>
        </w:rPr>
        <w:t>World Vision</w:t>
      </w:r>
      <w:r w:rsidRPr="00A56069">
        <w:rPr>
          <w:lang w:val="ru-RU"/>
        </w:rPr>
        <w:t>, Всемирный фонд дикой природы.</w:t>
      </w:r>
    </w:p>
  </w:footnote>
  <w:footnote w:id="5">
    <w:p w14:paraId="788112D6" w14:textId="6FB3AE99" w:rsidR="008073DB" w:rsidRDefault="008073DB" w:rsidP="00292427">
      <w:pPr>
        <w:pStyle w:val="CoDFootnote"/>
      </w:pPr>
      <w:r w:rsidRPr="00A56069">
        <w:rPr>
          <w:rStyle w:val="af4"/>
          <w:lang w:val="ru-RU"/>
        </w:rPr>
        <w:footnoteRef/>
      </w:r>
      <w:r w:rsidRPr="00A56069">
        <w:rPr>
          <w:sz w:val="20"/>
          <w:szCs w:val="20"/>
          <w:lang w:val="ru-RU"/>
        </w:rPr>
        <w:t xml:space="preserve"> </w:t>
      </w:r>
      <w:r w:rsidRPr="00A56069">
        <w:rPr>
          <w:lang w:val="ru-RU"/>
        </w:rPr>
        <w:t>Для просмотра видео используйте пароль videoshare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9521C" w14:textId="77777777" w:rsidR="008073DB" w:rsidRDefault="008073DB" w:rsidP="00AD744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00FD0EC" w14:textId="77777777" w:rsidR="008073DB" w:rsidRDefault="008073DB">
    <w:pPr>
      <w:pStyle w:val="a9"/>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CABAB" w14:textId="77777777" w:rsidR="008073DB" w:rsidRDefault="008073DB" w:rsidP="00AD744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F7836">
      <w:rPr>
        <w:rStyle w:val="ab"/>
        <w:noProof/>
      </w:rPr>
      <w:t>2</w:t>
    </w:r>
    <w:r>
      <w:rPr>
        <w:rStyle w:val="ab"/>
      </w:rPr>
      <w:fldChar w:fldCharType="end"/>
    </w:r>
  </w:p>
  <w:p w14:paraId="5DE28195" w14:textId="77777777" w:rsidR="008073DB" w:rsidRDefault="008073DB">
    <w:pPr>
      <w:pStyle w:val="a9"/>
      <w:ind w:right="360"/>
      <w:rPr>
        <w:rFonts w:ascii="Arial" w:hAnsi="Arial"/>
        <w:b/>
        <w:sz w:val="20"/>
        <w:lang w:val="fr-CH"/>
      </w:rPr>
    </w:pPr>
    <w:r>
      <w:rPr>
        <w:rFonts w:ascii="Arial" w:hAnsi="Arial"/>
        <w:b/>
        <w:sz w:val="20"/>
        <w:lang w:val="fr-CH"/>
      </w:rPr>
      <w:tab/>
    </w:r>
    <w:r>
      <w:rPr>
        <w:rFonts w:ascii="Arial" w:hAnsi="Arial"/>
        <w:b/>
        <w:sz w:val="20"/>
        <w:lang w:val="fr-CH"/>
      </w:rPr>
      <w:tab/>
    </w:r>
    <w:r>
      <w:rPr>
        <w:rFonts w:ascii="Arial" w:hAnsi="Arial"/>
        <w:b/>
        <w:sz w:val="20"/>
        <w:lang w:val="fr-CH"/>
      </w:rPr>
      <w:tab/>
    </w:r>
    <w:r>
      <w:rPr>
        <w:rFonts w:ascii="Arial" w:hAnsi="Arial"/>
        <w:b/>
        <w:sz w:val="20"/>
        <w:lang w:val="fr-CH"/>
      </w:rPr>
      <w:tab/>
    </w:r>
    <w:r>
      <w:rPr>
        <w:rFonts w:ascii="Arial" w:hAnsi="Arial"/>
        <w:b/>
        <w:sz w:val="20"/>
        <w:lang w:val="fr-CH"/>
      </w:rPr>
      <w:tab/>
    </w:r>
    <w:r>
      <w:rPr>
        <w:rFonts w:ascii="Arial" w:hAnsi="Arial"/>
        <w:b/>
        <w:sz w:val="20"/>
        <w:lang w:val="fr-CH"/>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53622" w14:textId="3F65CD3D" w:rsidR="008073DB" w:rsidRDefault="008073DB" w:rsidP="007C1888">
    <w:pPr>
      <w:pStyle w:val="a9"/>
      <w:jc w:val="center"/>
      <w:rPr>
        <w:rFonts w:ascii="Arial" w:hAnsi="Arial"/>
        <w:b/>
        <w:sz w:val="20"/>
        <w:lang w:val="fr-CH"/>
      </w:rPr>
    </w:pPr>
    <w:r w:rsidRPr="001151BD">
      <w:rPr>
        <w:noProof/>
        <w:lang w:val="en-US" w:eastAsia="ru-RU"/>
      </w:rPr>
      <w:drawing>
        <wp:inline distT="0" distB="0" distL="0" distR="0" wp14:anchorId="4EABCF4D" wp14:editId="0B9DFEE0">
          <wp:extent cx="4773600" cy="1450800"/>
          <wp:effectExtent l="0" t="0" r="8255" b="0"/>
          <wp:docPr id="1" name="Picture 1" descr="M:\Travail\Documents 2017\English\CoD 2017\templates\Logo-RCRC_CoD_2017-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ravail\Documents 2017\English\CoD 2017\templates\Logo-RCRC_CoD_2017-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3600" cy="1450800"/>
                  </a:xfrm>
                  <a:prstGeom prst="rect">
                    <a:avLst/>
                  </a:prstGeom>
                  <a:noFill/>
                  <a:ln>
                    <a:noFill/>
                  </a:ln>
                </pic:spPr>
              </pic:pic>
            </a:graphicData>
          </a:graphic>
        </wp:inline>
      </w:drawing>
    </w:r>
  </w:p>
  <w:p w14:paraId="41E971D5" w14:textId="77777777" w:rsidR="008073DB" w:rsidRDefault="008073DB" w:rsidP="00223BC8">
    <w:pPr>
      <w:pStyle w:val="a9"/>
      <w:jc w:val="both"/>
      <w:rPr>
        <w:rFonts w:ascii="Arial" w:hAnsi="Arial"/>
        <w:b/>
        <w:sz w:val="20"/>
        <w:lang w:val="fr-CH"/>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E393" w14:textId="77777777" w:rsidR="008073DB" w:rsidRDefault="008073DB" w:rsidP="00AD744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0EA7636" w14:textId="77777777" w:rsidR="008073DB" w:rsidRDefault="008073DB">
    <w:pPr>
      <w:pStyle w:val="a9"/>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10FF8" w14:textId="502F5091" w:rsidR="008073DB" w:rsidRPr="00827D68" w:rsidRDefault="008073DB" w:rsidP="00AD7446">
    <w:pPr>
      <w:pStyle w:val="a9"/>
      <w:framePr w:wrap="around" w:vAnchor="text" w:hAnchor="margin" w:xAlign="right" w:y="1"/>
      <w:rPr>
        <w:rStyle w:val="ab"/>
        <w:rFonts w:ascii="Arial" w:hAnsi="Arial" w:cs="Arial"/>
        <w:sz w:val="20"/>
        <w:szCs w:val="20"/>
      </w:rPr>
    </w:pPr>
    <w:r w:rsidRPr="00827D68">
      <w:rPr>
        <w:rStyle w:val="ab"/>
        <w:rFonts w:ascii="Arial" w:hAnsi="Arial" w:cs="Arial"/>
        <w:sz w:val="20"/>
        <w:szCs w:val="20"/>
      </w:rPr>
      <w:fldChar w:fldCharType="begin"/>
    </w:r>
    <w:r w:rsidRPr="00827D68">
      <w:rPr>
        <w:rStyle w:val="ab"/>
        <w:rFonts w:ascii="Arial" w:hAnsi="Arial" w:cs="Arial"/>
        <w:sz w:val="20"/>
        <w:szCs w:val="20"/>
      </w:rPr>
      <w:instrText xml:space="preserve">PAGE  </w:instrText>
    </w:r>
    <w:r w:rsidRPr="00827D68">
      <w:rPr>
        <w:rStyle w:val="ab"/>
        <w:rFonts w:ascii="Arial" w:hAnsi="Arial" w:cs="Arial"/>
        <w:sz w:val="20"/>
        <w:szCs w:val="20"/>
      </w:rPr>
      <w:fldChar w:fldCharType="separate"/>
    </w:r>
    <w:r w:rsidR="005F7836">
      <w:rPr>
        <w:rStyle w:val="ab"/>
        <w:rFonts w:ascii="Arial" w:hAnsi="Arial" w:cs="Arial"/>
        <w:noProof/>
        <w:sz w:val="20"/>
        <w:szCs w:val="20"/>
      </w:rPr>
      <w:t>16</w:t>
    </w:r>
    <w:r w:rsidRPr="00827D68">
      <w:rPr>
        <w:rStyle w:val="ab"/>
        <w:rFonts w:ascii="Arial" w:hAnsi="Arial" w:cs="Arial"/>
        <w:sz w:val="20"/>
        <w:szCs w:val="20"/>
      </w:rPr>
      <w:fldChar w:fldCharType="end"/>
    </w:r>
  </w:p>
  <w:p w14:paraId="115FE47D" w14:textId="4E772673" w:rsidR="008073DB" w:rsidRDefault="008073DB">
    <w:pPr>
      <w:pStyle w:val="a9"/>
      <w:ind w:right="360"/>
      <w:rPr>
        <w:rFonts w:ascii="Arial" w:hAnsi="Arial"/>
        <w:b/>
        <w:sz w:val="20"/>
        <w:lang w:val="fr-CH"/>
      </w:rPr>
    </w:pPr>
    <w:r w:rsidRPr="005C2452">
      <w:rPr>
        <w:rFonts w:ascii="Arial" w:hAnsi="Arial"/>
        <w:b/>
        <w:sz w:val="20"/>
        <w:lang w:val="fr-CH"/>
      </w:rPr>
      <w:t>CD/17/6</w:t>
    </w:r>
    <w:r>
      <w:rPr>
        <w:rFonts w:ascii="Arial" w:hAnsi="Arial"/>
        <w:b/>
        <w:sz w:val="20"/>
        <w:lang w:val="fr-CH"/>
      </w:rPr>
      <w:tab/>
    </w:r>
    <w:r>
      <w:rPr>
        <w:rFonts w:ascii="Arial" w:hAnsi="Arial"/>
        <w:b/>
        <w:sz w:val="20"/>
        <w:lang w:val="fr-CH"/>
      </w:rPr>
      <w:tab/>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33821"/>
      <w:docPartObj>
        <w:docPartGallery w:val="Page Numbers (Top of Page)"/>
        <w:docPartUnique/>
      </w:docPartObj>
    </w:sdtPr>
    <w:sdtEndPr>
      <w:rPr>
        <w:noProof/>
      </w:rPr>
    </w:sdtEndPr>
    <w:sdtContent>
      <w:p w14:paraId="3B984306" w14:textId="5C1156EF" w:rsidR="008073DB" w:rsidRPr="005E4B7C" w:rsidRDefault="008073DB" w:rsidP="005E4B7C">
        <w:pPr>
          <w:pStyle w:val="a9"/>
          <w:jc w:val="right"/>
        </w:pPr>
        <w:r w:rsidRPr="005C2452">
          <w:rPr>
            <w:rFonts w:ascii="Arial" w:hAnsi="Arial"/>
            <w:b/>
            <w:sz w:val="20"/>
            <w:lang w:val="fr-CH"/>
          </w:rPr>
          <w:t>CD/17/6</w:t>
        </w:r>
        <w:r>
          <w:rPr>
            <w:rFonts w:ascii="Arial" w:hAnsi="Arial"/>
            <w:b/>
            <w:sz w:val="20"/>
            <w:lang w:val="fr-CH"/>
          </w:rPr>
          <w:tab/>
        </w:r>
        <w:r>
          <w:rPr>
            <w:rFonts w:ascii="Arial" w:hAnsi="Arial"/>
            <w:b/>
            <w:sz w:val="20"/>
            <w:lang w:val="fr-CH"/>
          </w:rPr>
          <w:tab/>
        </w:r>
        <w:r w:rsidRPr="00827D68">
          <w:rPr>
            <w:rFonts w:ascii="Arial" w:hAnsi="Arial" w:cs="Arial"/>
            <w:sz w:val="20"/>
            <w:szCs w:val="20"/>
          </w:rPr>
          <w:fldChar w:fldCharType="begin"/>
        </w:r>
        <w:r w:rsidRPr="00827D68">
          <w:rPr>
            <w:rFonts w:ascii="Arial" w:hAnsi="Arial" w:cs="Arial"/>
            <w:sz w:val="20"/>
            <w:szCs w:val="20"/>
          </w:rPr>
          <w:instrText xml:space="preserve"> PAGE   \* MERGEFORMAT </w:instrText>
        </w:r>
        <w:r w:rsidRPr="00827D68">
          <w:rPr>
            <w:rFonts w:ascii="Arial" w:hAnsi="Arial" w:cs="Arial"/>
            <w:sz w:val="20"/>
            <w:szCs w:val="20"/>
          </w:rPr>
          <w:fldChar w:fldCharType="separate"/>
        </w:r>
        <w:r w:rsidR="005F7836">
          <w:rPr>
            <w:rFonts w:ascii="Arial" w:hAnsi="Arial" w:cs="Arial"/>
            <w:noProof/>
            <w:sz w:val="20"/>
            <w:szCs w:val="20"/>
          </w:rPr>
          <w:t>1</w:t>
        </w:r>
        <w:r w:rsidRPr="00827D68">
          <w:rPr>
            <w:rFonts w:ascii="Arial" w:hAnsi="Arial" w:cs="Arial"/>
            <w:noProof/>
            <w:sz w:val="20"/>
            <w:szCs w:val="20"/>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1B2B"/>
    <w:multiLevelType w:val="hybridMultilevel"/>
    <w:tmpl w:val="C27A7224"/>
    <w:lvl w:ilvl="0" w:tplc="6C7AF67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576758"/>
    <w:multiLevelType w:val="hybridMultilevel"/>
    <w:tmpl w:val="E49CB11C"/>
    <w:lvl w:ilvl="0" w:tplc="260870D2">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1B2212CD"/>
    <w:multiLevelType w:val="hybridMultilevel"/>
    <w:tmpl w:val="73029C96"/>
    <w:lvl w:ilvl="0" w:tplc="6E7E6A10">
      <w:numFmt w:val="bullet"/>
      <w:lvlText w:val="-"/>
      <w:lvlJc w:val="left"/>
      <w:pPr>
        <w:tabs>
          <w:tab w:val="num" w:pos="720"/>
        </w:tabs>
        <w:ind w:left="720" w:hanging="360"/>
      </w:pPr>
      <w:rPr>
        <w:rFonts w:ascii="Arial" w:eastAsia="SimSun" w:hAnsi="Arial" w:cs="Arial" w:hint="default"/>
        <w:i/>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E8E6A74"/>
    <w:multiLevelType w:val="hybridMultilevel"/>
    <w:tmpl w:val="4B8E1378"/>
    <w:lvl w:ilvl="0" w:tplc="260870D2">
      <w:numFmt w:val="bullet"/>
      <w:lvlText w:val="-"/>
      <w:lvlJc w:val="left"/>
      <w:pPr>
        <w:ind w:left="720" w:hanging="360"/>
      </w:pPr>
      <w:rPr>
        <w:rFonts w:ascii="Arial" w:eastAsia="Times New Roman" w:hAnsi="Arial" w:cs="Arial" w:hint="default"/>
      </w:rPr>
    </w:lvl>
    <w:lvl w:ilvl="1" w:tplc="26CCA4C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8404D5"/>
    <w:multiLevelType w:val="hybridMultilevel"/>
    <w:tmpl w:val="1632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5C4831"/>
    <w:multiLevelType w:val="hybridMultilevel"/>
    <w:tmpl w:val="CD7CAB88"/>
    <w:lvl w:ilvl="0" w:tplc="038A00DC">
      <w:numFmt w:val="bullet"/>
      <w:lvlText w:val="-"/>
      <w:lvlJc w:val="left"/>
      <w:pPr>
        <w:ind w:left="1854" w:hanging="360"/>
      </w:pPr>
      <w:rPr>
        <w:rFonts w:ascii="Arial" w:eastAsia="SimSun" w:hAnsi="Arial" w:cs="Arial" w:hint="default"/>
        <w:sz w:val="24"/>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6">
    <w:nsid w:val="26C50AE5"/>
    <w:multiLevelType w:val="hybridMultilevel"/>
    <w:tmpl w:val="8B0CB12E"/>
    <w:lvl w:ilvl="0" w:tplc="100C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F41D84"/>
    <w:multiLevelType w:val="hybridMultilevel"/>
    <w:tmpl w:val="2636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7A2296"/>
    <w:multiLevelType w:val="hybridMultilevel"/>
    <w:tmpl w:val="18AC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759E0"/>
    <w:multiLevelType w:val="hybridMultilevel"/>
    <w:tmpl w:val="5CEAFA9A"/>
    <w:lvl w:ilvl="0" w:tplc="43081A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3E24AE"/>
    <w:multiLevelType w:val="hybridMultilevel"/>
    <w:tmpl w:val="010EDBBE"/>
    <w:lvl w:ilvl="0" w:tplc="AF7CCBCA">
      <w:start w:val="3"/>
      <w:numFmt w:val="bullet"/>
      <w:lvlText w:val="-"/>
      <w:lvlJc w:val="left"/>
      <w:pPr>
        <w:ind w:left="1440" w:hanging="360"/>
      </w:pPr>
      <w:rPr>
        <w:rFonts w:ascii="Arial" w:eastAsia="SimSun"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0A710C4"/>
    <w:multiLevelType w:val="hybridMultilevel"/>
    <w:tmpl w:val="BDCCDE40"/>
    <w:lvl w:ilvl="0" w:tplc="08090011">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4B2042CB"/>
    <w:multiLevelType w:val="hybridMultilevel"/>
    <w:tmpl w:val="3B86DD02"/>
    <w:lvl w:ilvl="0" w:tplc="100C0011">
      <w:start w:val="1"/>
      <w:numFmt w:val="decimal"/>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FE1727"/>
    <w:multiLevelType w:val="hybridMultilevel"/>
    <w:tmpl w:val="F4A64AF0"/>
    <w:lvl w:ilvl="0" w:tplc="830AB69A">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D96B63"/>
    <w:multiLevelType w:val="hybridMultilevel"/>
    <w:tmpl w:val="0A24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A753C7"/>
    <w:multiLevelType w:val="hybridMultilevel"/>
    <w:tmpl w:val="6194F65E"/>
    <w:lvl w:ilvl="0" w:tplc="260870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C57C12"/>
    <w:multiLevelType w:val="hybridMultilevel"/>
    <w:tmpl w:val="3516DA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64D6C8C"/>
    <w:multiLevelType w:val="hybridMultilevel"/>
    <w:tmpl w:val="F190A2D4"/>
    <w:lvl w:ilvl="0" w:tplc="15943746">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863668D"/>
    <w:multiLevelType w:val="hybridMultilevel"/>
    <w:tmpl w:val="6BF65BE4"/>
    <w:lvl w:ilvl="0" w:tplc="E3280E90">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360"/>
        </w:tabs>
        <w:ind w:left="360" w:hanging="360"/>
      </w:pPr>
      <w:rPr>
        <w:rFonts w:ascii="Symbol" w:hAnsi="Symbol" w:hint="default"/>
      </w:rPr>
    </w:lvl>
    <w:lvl w:ilvl="2" w:tplc="06C037D4" w:tentative="1">
      <w:start w:val="1"/>
      <w:numFmt w:val="bullet"/>
      <w:lvlText w:val="•"/>
      <w:lvlJc w:val="left"/>
      <w:pPr>
        <w:tabs>
          <w:tab w:val="num" w:pos="2160"/>
        </w:tabs>
        <w:ind w:left="2160" w:hanging="360"/>
      </w:pPr>
      <w:rPr>
        <w:rFonts w:ascii="Arial" w:hAnsi="Arial" w:hint="default"/>
      </w:rPr>
    </w:lvl>
    <w:lvl w:ilvl="3" w:tplc="243099E6" w:tentative="1">
      <w:start w:val="1"/>
      <w:numFmt w:val="bullet"/>
      <w:lvlText w:val="•"/>
      <w:lvlJc w:val="left"/>
      <w:pPr>
        <w:tabs>
          <w:tab w:val="num" w:pos="2880"/>
        </w:tabs>
        <w:ind w:left="2880" w:hanging="360"/>
      </w:pPr>
      <w:rPr>
        <w:rFonts w:ascii="Arial" w:hAnsi="Arial" w:hint="default"/>
      </w:rPr>
    </w:lvl>
    <w:lvl w:ilvl="4" w:tplc="B49C5756" w:tentative="1">
      <w:start w:val="1"/>
      <w:numFmt w:val="bullet"/>
      <w:lvlText w:val="•"/>
      <w:lvlJc w:val="left"/>
      <w:pPr>
        <w:tabs>
          <w:tab w:val="num" w:pos="3600"/>
        </w:tabs>
        <w:ind w:left="3600" w:hanging="360"/>
      </w:pPr>
      <w:rPr>
        <w:rFonts w:ascii="Arial" w:hAnsi="Arial" w:hint="default"/>
      </w:rPr>
    </w:lvl>
    <w:lvl w:ilvl="5" w:tplc="E732EC14" w:tentative="1">
      <w:start w:val="1"/>
      <w:numFmt w:val="bullet"/>
      <w:lvlText w:val="•"/>
      <w:lvlJc w:val="left"/>
      <w:pPr>
        <w:tabs>
          <w:tab w:val="num" w:pos="4320"/>
        </w:tabs>
        <w:ind w:left="4320" w:hanging="360"/>
      </w:pPr>
      <w:rPr>
        <w:rFonts w:ascii="Arial" w:hAnsi="Arial" w:hint="default"/>
      </w:rPr>
    </w:lvl>
    <w:lvl w:ilvl="6" w:tplc="6E8428BA" w:tentative="1">
      <w:start w:val="1"/>
      <w:numFmt w:val="bullet"/>
      <w:lvlText w:val="•"/>
      <w:lvlJc w:val="left"/>
      <w:pPr>
        <w:tabs>
          <w:tab w:val="num" w:pos="5040"/>
        </w:tabs>
        <w:ind w:left="5040" w:hanging="360"/>
      </w:pPr>
      <w:rPr>
        <w:rFonts w:ascii="Arial" w:hAnsi="Arial" w:hint="default"/>
      </w:rPr>
    </w:lvl>
    <w:lvl w:ilvl="7" w:tplc="D414979C" w:tentative="1">
      <w:start w:val="1"/>
      <w:numFmt w:val="bullet"/>
      <w:lvlText w:val="•"/>
      <w:lvlJc w:val="left"/>
      <w:pPr>
        <w:tabs>
          <w:tab w:val="num" w:pos="5760"/>
        </w:tabs>
        <w:ind w:left="5760" w:hanging="360"/>
      </w:pPr>
      <w:rPr>
        <w:rFonts w:ascii="Arial" w:hAnsi="Arial" w:hint="default"/>
      </w:rPr>
    </w:lvl>
    <w:lvl w:ilvl="8" w:tplc="AE1A90C6" w:tentative="1">
      <w:start w:val="1"/>
      <w:numFmt w:val="bullet"/>
      <w:lvlText w:val="•"/>
      <w:lvlJc w:val="left"/>
      <w:pPr>
        <w:tabs>
          <w:tab w:val="num" w:pos="6480"/>
        </w:tabs>
        <w:ind w:left="6480" w:hanging="360"/>
      </w:pPr>
      <w:rPr>
        <w:rFonts w:ascii="Arial" w:hAnsi="Arial" w:hint="default"/>
      </w:rPr>
    </w:lvl>
  </w:abstractNum>
  <w:abstractNum w:abstractNumId="19">
    <w:nsid w:val="6E422C05"/>
    <w:multiLevelType w:val="hybridMultilevel"/>
    <w:tmpl w:val="C9D2F9E8"/>
    <w:lvl w:ilvl="0" w:tplc="038A00DC">
      <w:numFmt w:val="bullet"/>
      <w:lvlText w:val="-"/>
      <w:lvlJc w:val="left"/>
      <w:pPr>
        <w:ind w:left="1080" w:hanging="360"/>
      </w:pPr>
      <w:rPr>
        <w:rFonts w:ascii="Arial" w:eastAsia="SimSun" w:hAnsi="Arial" w:cs="Arial" w:hint="default"/>
        <w:sz w:val="24"/>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nsid w:val="701F16CE"/>
    <w:multiLevelType w:val="hybridMultilevel"/>
    <w:tmpl w:val="56DE0356"/>
    <w:lvl w:ilvl="0" w:tplc="08090011">
      <w:start w:val="1"/>
      <w:numFmt w:val="decimal"/>
      <w:lvlText w:val="%1)"/>
      <w:lvlJc w:val="left"/>
      <w:pPr>
        <w:ind w:left="1080" w:hanging="360"/>
      </w:pPr>
      <w:rPr>
        <w:rFonts w:hint="default"/>
      </w:rPr>
    </w:lvl>
    <w:lvl w:ilvl="1" w:tplc="038A00DC">
      <w:numFmt w:val="bullet"/>
      <w:lvlText w:val="-"/>
      <w:lvlJc w:val="left"/>
      <w:pPr>
        <w:ind w:left="1800" w:hanging="360"/>
      </w:pPr>
      <w:rPr>
        <w:rFonts w:ascii="Arial" w:eastAsia="SimSun" w:hAnsi="Arial" w:cs="Arial"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6E20773"/>
    <w:multiLevelType w:val="hybridMultilevel"/>
    <w:tmpl w:val="ED7C5922"/>
    <w:lvl w:ilvl="0" w:tplc="ED4C22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3F3195"/>
    <w:multiLevelType w:val="hybridMultilevel"/>
    <w:tmpl w:val="87509F6A"/>
    <w:lvl w:ilvl="0" w:tplc="1486B680">
      <w:start w:val="1"/>
      <w:numFmt w:val="bullet"/>
      <w:pStyle w:val="CoD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
  </w:num>
  <w:num w:numId="4">
    <w:abstractNumId w:val="3"/>
  </w:num>
  <w:num w:numId="5">
    <w:abstractNumId w:val="18"/>
  </w:num>
  <w:num w:numId="6">
    <w:abstractNumId w:val="16"/>
  </w:num>
  <w:num w:numId="7">
    <w:abstractNumId w:val="7"/>
  </w:num>
  <w:num w:numId="8">
    <w:abstractNumId w:val="8"/>
  </w:num>
  <w:num w:numId="9">
    <w:abstractNumId w:val="4"/>
  </w:num>
  <w:num w:numId="10">
    <w:abstractNumId w:val="0"/>
  </w:num>
  <w:num w:numId="11">
    <w:abstractNumId w:val="2"/>
  </w:num>
  <w:num w:numId="12">
    <w:abstractNumId w:val="17"/>
  </w:num>
  <w:num w:numId="13">
    <w:abstractNumId w:val="14"/>
  </w:num>
  <w:num w:numId="14">
    <w:abstractNumId w:val="21"/>
  </w:num>
  <w:num w:numId="15">
    <w:abstractNumId w:val="12"/>
  </w:num>
  <w:num w:numId="16">
    <w:abstractNumId w:val="15"/>
  </w:num>
  <w:num w:numId="17">
    <w:abstractNumId w:val="13"/>
  </w:num>
  <w:num w:numId="18">
    <w:abstractNumId w:val="11"/>
  </w:num>
  <w:num w:numId="19">
    <w:abstractNumId w:val="19"/>
  </w:num>
  <w:num w:numId="20">
    <w:abstractNumId w:val="9"/>
  </w:num>
  <w:num w:numId="21">
    <w:abstractNumId w:val="5"/>
  </w:num>
  <w:num w:numId="22">
    <w:abstractNumId w:val="22"/>
  </w:num>
  <w:num w:numId="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proofState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5E8"/>
    <w:rsid w:val="000003F8"/>
    <w:rsid w:val="00001551"/>
    <w:rsid w:val="000021E1"/>
    <w:rsid w:val="000024C1"/>
    <w:rsid w:val="00010F9A"/>
    <w:rsid w:val="00012215"/>
    <w:rsid w:val="00012471"/>
    <w:rsid w:val="0001372C"/>
    <w:rsid w:val="000172A9"/>
    <w:rsid w:val="0002172D"/>
    <w:rsid w:val="00022C1C"/>
    <w:rsid w:val="0002356C"/>
    <w:rsid w:val="00023E0C"/>
    <w:rsid w:val="000244FA"/>
    <w:rsid w:val="000257B2"/>
    <w:rsid w:val="00031F73"/>
    <w:rsid w:val="00035309"/>
    <w:rsid w:val="00035854"/>
    <w:rsid w:val="000365C8"/>
    <w:rsid w:val="0003689F"/>
    <w:rsid w:val="00037A0F"/>
    <w:rsid w:val="00037FBA"/>
    <w:rsid w:val="0004264B"/>
    <w:rsid w:val="000427BD"/>
    <w:rsid w:val="000466A4"/>
    <w:rsid w:val="00046CA3"/>
    <w:rsid w:val="000474BC"/>
    <w:rsid w:val="00056E2B"/>
    <w:rsid w:val="0006068A"/>
    <w:rsid w:val="00063963"/>
    <w:rsid w:val="00065EC6"/>
    <w:rsid w:val="00067981"/>
    <w:rsid w:val="0007180D"/>
    <w:rsid w:val="00072F25"/>
    <w:rsid w:val="00076502"/>
    <w:rsid w:val="00077944"/>
    <w:rsid w:val="00096382"/>
    <w:rsid w:val="000973AF"/>
    <w:rsid w:val="000A0916"/>
    <w:rsid w:val="000A4A54"/>
    <w:rsid w:val="000A52EC"/>
    <w:rsid w:val="000A6846"/>
    <w:rsid w:val="000A6AA7"/>
    <w:rsid w:val="000A6B77"/>
    <w:rsid w:val="000B3E1B"/>
    <w:rsid w:val="000B4C33"/>
    <w:rsid w:val="000C0015"/>
    <w:rsid w:val="000C1857"/>
    <w:rsid w:val="000C20FA"/>
    <w:rsid w:val="000C2190"/>
    <w:rsid w:val="000C38E8"/>
    <w:rsid w:val="000C405C"/>
    <w:rsid w:val="000C58C9"/>
    <w:rsid w:val="000C5FFF"/>
    <w:rsid w:val="000C76BE"/>
    <w:rsid w:val="000D0564"/>
    <w:rsid w:val="000D376B"/>
    <w:rsid w:val="000D39BF"/>
    <w:rsid w:val="000D43CE"/>
    <w:rsid w:val="000D51BB"/>
    <w:rsid w:val="000D6658"/>
    <w:rsid w:val="000D6B36"/>
    <w:rsid w:val="000E35C3"/>
    <w:rsid w:val="000E3AC6"/>
    <w:rsid w:val="000E4353"/>
    <w:rsid w:val="000E66AB"/>
    <w:rsid w:val="000E7C6A"/>
    <w:rsid w:val="000F0169"/>
    <w:rsid w:val="000F071E"/>
    <w:rsid w:val="000F30F1"/>
    <w:rsid w:val="000F65B2"/>
    <w:rsid w:val="00101F1B"/>
    <w:rsid w:val="00103ECA"/>
    <w:rsid w:val="00105494"/>
    <w:rsid w:val="001104CB"/>
    <w:rsid w:val="00110732"/>
    <w:rsid w:val="00110830"/>
    <w:rsid w:val="00114CFF"/>
    <w:rsid w:val="001152F3"/>
    <w:rsid w:val="001161D1"/>
    <w:rsid w:val="00116AA5"/>
    <w:rsid w:val="001178E3"/>
    <w:rsid w:val="00122595"/>
    <w:rsid w:val="00131B7D"/>
    <w:rsid w:val="00131C36"/>
    <w:rsid w:val="001355EF"/>
    <w:rsid w:val="00135B8D"/>
    <w:rsid w:val="00144E31"/>
    <w:rsid w:val="00146804"/>
    <w:rsid w:val="001509C0"/>
    <w:rsid w:val="00151029"/>
    <w:rsid w:val="00151C79"/>
    <w:rsid w:val="00151E4D"/>
    <w:rsid w:val="001536B3"/>
    <w:rsid w:val="00153FBF"/>
    <w:rsid w:val="00157CA2"/>
    <w:rsid w:val="00160DDF"/>
    <w:rsid w:val="00161F96"/>
    <w:rsid w:val="00162730"/>
    <w:rsid w:val="0016666F"/>
    <w:rsid w:val="0017064E"/>
    <w:rsid w:val="00173718"/>
    <w:rsid w:val="00173DE6"/>
    <w:rsid w:val="00177CF1"/>
    <w:rsid w:val="00180BA7"/>
    <w:rsid w:val="00184110"/>
    <w:rsid w:val="00184511"/>
    <w:rsid w:val="001863D5"/>
    <w:rsid w:val="0019143B"/>
    <w:rsid w:val="00194E9F"/>
    <w:rsid w:val="001950DE"/>
    <w:rsid w:val="00195F99"/>
    <w:rsid w:val="001963B1"/>
    <w:rsid w:val="001A0A20"/>
    <w:rsid w:val="001A11A1"/>
    <w:rsid w:val="001B719F"/>
    <w:rsid w:val="001C01C7"/>
    <w:rsid w:val="001C0FE1"/>
    <w:rsid w:val="001C21BE"/>
    <w:rsid w:val="001C26A0"/>
    <w:rsid w:val="001C5166"/>
    <w:rsid w:val="001C7EE1"/>
    <w:rsid w:val="001D03DC"/>
    <w:rsid w:val="001D2DC3"/>
    <w:rsid w:val="001D3008"/>
    <w:rsid w:val="001D3543"/>
    <w:rsid w:val="001E181C"/>
    <w:rsid w:val="001E4D2A"/>
    <w:rsid w:val="001E767D"/>
    <w:rsid w:val="001E7884"/>
    <w:rsid w:val="001F12C9"/>
    <w:rsid w:val="001F3F28"/>
    <w:rsid w:val="001F5D1F"/>
    <w:rsid w:val="001F6021"/>
    <w:rsid w:val="001F7489"/>
    <w:rsid w:val="0020732D"/>
    <w:rsid w:val="00212DE6"/>
    <w:rsid w:val="00222D1E"/>
    <w:rsid w:val="002234E6"/>
    <w:rsid w:val="00223BC8"/>
    <w:rsid w:val="0023179D"/>
    <w:rsid w:val="0023282D"/>
    <w:rsid w:val="0023677B"/>
    <w:rsid w:val="002404C7"/>
    <w:rsid w:val="0024357E"/>
    <w:rsid w:val="0024716E"/>
    <w:rsid w:val="00254915"/>
    <w:rsid w:val="0025576F"/>
    <w:rsid w:val="0026248A"/>
    <w:rsid w:val="002624AF"/>
    <w:rsid w:val="00263142"/>
    <w:rsid w:val="00265E22"/>
    <w:rsid w:val="00267D21"/>
    <w:rsid w:val="00267D3B"/>
    <w:rsid w:val="00271E2F"/>
    <w:rsid w:val="00273426"/>
    <w:rsid w:val="002763DF"/>
    <w:rsid w:val="002771C8"/>
    <w:rsid w:val="00287502"/>
    <w:rsid w:val="00290AAD"/>
    <w:rsid w:val="00292427"/>
    <w:rsid w:val="002925B1"/>
    <w:rsid w:val="002A6D07"/>
    <w:rsid w:val="002B075E"/>
    <w:rsid w:val="002B1DF8"/>
    <w:rsid w:val="002B27F0"/>
    <w:rsid w:val="002B5353"/>
    <w:rsid w:val="002C0903"/>
    <w:rsid w:val="002C0F6D"/>
    <w:rsid w:val="002C777D"/>
    <w:rsid w:val="002D2ECB"/>
    <w:rsid w:val="002D5FA3"/>
    <w:rsid w:val="002D65EA"/>
    <w:rsid w:val="002D786E"/>
    <w:rsid w:val="002E05F4"/>
    <w:rsid w:val="002E0E74"/>
    <w:rsid w:val="002E107D"/>
    <w:rsid w:val="002E1C72"/>
    <w:rsid w:val="002E6125"/>
    <w:rsid w:val="002F08D8"/>
    <w:rsid w:val="002F3BB9"/>
    <w:rsid w:val="002F3CB9"/>
    <w:rsid w:val="002F47A2"/>
    <w:rsid w:val="003001E8"/>
    <w:rsid w:val="00304721"/>
    <w:rsid w:val="00311061"/>
    <w:rsid w:val="00311ABB"/>
    <w:rsid w:val="00313376"/>
    <w:rsid w:val="00321C03"/>
    <w:rsid w:val="00322611"/>
    <w:rsid w:val="00324016"/>
    <w:rsid w:val="00325C30"/>
    <w:rsid w:val="00330334"/>
    <w:rsid w:val="00331632"/>
    <w:rsid w:val="00332D92"/>
    <w:rsid w:val="00334AF0"/>
    <w:rsid w:val="00336E19"/>
    <w:rsid w:val="00344F7B"/>
    <w:rsid w:val="003456F2"/>
    <w:rsid w:val="00351E35"/>
    <w:rsid w:val="00352AF4"/>
    <w:rsid w:val="00353363"/>
    <w:rsid w:val="00354B43"/>
    <w:rsid w:val="00354E8E"/>
    <w:rsid w:val="00355FE9"/>
    <w:rsid w:val="00362F74"/>
    <w:rsid w:val="00370E8E"/>
    <w:rsid w:val="00371352"/>
    <w:rsid w:val="00375365"/>
    <w:rsid w:val="00375F30"/>
    <w:rsid w:val="003776AC"/>
    <w:rsid w:val="00381627"/>
    <w:rsid w:val="00382196"/>
    <w:rsid w:val="003840C1"/>
    <w:rsid w:val="00390C30"/>
    <w:rsid w:val="00390FDD"/>
    <w:rsid w:val="00391CC4"/>
    <w:rsid w:val="0039286B"/>
    <w:rsid w:val="00396406"/>
    <w:rsid w:val="00396550"/>
    <w:rsid w:val="00396CC9"/>
    <w:rsid w:val="00397AAA"/>
    <w:rsid w:val="003A383E"/>
    <w:rsid w:val="003A529E"/>
    <w:rsid w:val="003A6DCF"/>
    <w:rsid w:val="003B111E"/>
    <w:rsid w:val="003B4AAA"/>
    <w:rsid w:val="003C08EA"/>
    <w:rsid w:val="003C2484"/>
    <w:rsid w:val="003C29C4"/>
    <w:rsid w:val="003C424C"/>
    <w:rsid w:val="003C4ADD"/>
    <w:rsid w:val="003C534A"/>
    <w:rsid w:val="003D144A"/>
    <w:rsid w:val="003D1666"/>
    <w:rsid w:val="003D5609"/>
    <w:rsid w:val="003D610B"/>
    <w:rsid w:val="003D680D"/>
    <w:rsid w:val="003F002F"/>
    <w:rsid w:val="003F0CC1"/>
    <w:rsid w:val="004012AB"/>
    <w:rsid w:val="00405D7C"/>
    <w:rsid w:val="00411A6D"/>
    <w:rsid w:val="00420386"/>
    <w:rsid w:val="004228B4"/>
    <w:rsid w:val="00424EF5"/>
    <w:rsid w:val="00427040"/>
    <w:rsid w:val="00430332"/>
    <w:rsid w:val="00430E97"/>
    <w:rsid w:val="00432809"/>
    <w:rsid w:val="00433FC5"/>
    <w:rsid w:val="00434624"/>
    <w:rsid w:val="00435D32"/>
    <w:rsid w:val="00437AAE"/>
    <w:rsid w:val="004403C5"/>
    <w:rsid w:val="00440DB4"/>
    <w:rsid w:val="00441F9B"/>
    <w:rsid w:val="00450F50"/>
    <w:rsid w:val="004542D6"/>
    <w:rsid w:val="004555C3"/>
    <w:rsid w:val="00457CE8"/>
    <w:rsid w:val="00460567"/>
    <w:rsid w:val="00460577"/>
    <w:rsid w:val="00462638"/>
    <w:rsid w:val="00462AF3"/>
    <w:rsid w:val="004641C1"/>
    <w:rsid w:val="004655A5"/>
    <w:rsid w:val="004666EB"/>
    <w:rsid w:val="00470355"/>
    <w:rsid w:val="00471001"/>
    <w:rsid w:val="00472E79"/>
    <w:rsid w:val="00473E5E"/>
    <w:rsid w:val="004741E8"/>
    <w:rsid w:val="004746F3"/>
    <w:rsid w:val="00474A24"/>
    <w:rsid w:val="004752EE"/>
    <w:rsid w:val="00476F3E"/>
    <w:rsid w:val="0048068E"/>
    <w:rsid w:val="00481FBC"/>
    <w:rsid w:val="004834DB"/>
    <w:rsid w:val="004850D7"/>
    <w:rsid w:val="004863AA"/>
    <w:rsid w:val="004864C0"/>
    <w:rsid w:val="004879DE"/>
    <w:rsid w:val="00490587"/>
    <w:rsid w:val="00490DA2"/>
    <w:rsid w:val="00491035"/>
    <w:rsid w:val="00491481"/>
    <w:rsid w:val="004953C7"/>
    <w:rsid w:val="004A1087"/>
    <w:rsid w:val="004A5CB6"/>
    <w:rsid w:val="004B4B3A"/>
    <w:rsid w:val="004B5189"/>
    <w:rsid w:val="004B7B7E"/>
    <w:rsid w:val="004C277E"/>
    <w:rsid w:val="004C4811"/>
    <w:rsid w:val="004C5617"/>
    <w:rsid w:val="004C69E4"/>
    <w:rsid w:val="004C7115"/>
    <w:rsid w:val="004D054C"/>
    <w:rsid w:val="004D0A46"/>
    <w:rsid w:val="004D2237"/>
    <w:rsid w:val="004D23B9"/>
    <w:rsid w:val="004D274B"/>
    <w:rsid w:val="004D4EB5"/>
    <w:rsid w:val="004E6420"/>
    <w:rsid w:val="004E7675"/>
    <w:rsid w:val="004F1247"/>
    <w:rsid w:val="004F47C1"/>
    <w:rsid w:val="004F5124"/>
    <w:rsid w:val="004F6D71"/>
    <w:rsid w:val="00500BC7"/>
    <w:rsid w:val="00502190"/>
    <w:rsid w:val="00503397"/>
    <w:rsid w:val="00512D63"/>
    <w:rsid w:val="00514939"/>
    <w:rsid w:val="00516298"/>
    <w:rsid w:val="00516DF4"/>
    <w:rsid w:val="0052028A"/>
    <w:rsid w:val="005211DF"/>
    <w:rsid w:val="00522709"/>
    <w:rsid w:val="00523FC5"/>
    <w:rsid w:val="005263CA"/>
    <w:rsid w:val="00527E14"/>
    <w:rsid w:val="00531936"/>
    <w:rsid w:val="00536A03"/>
    <w:rsid w:val="005428D4"/>
    <w:rsid w:val="00545805"/>
    <w:rsid w:val="00546E6A"/>
    <w:rsid w:val="00547FA2"/>
    <w:rsid w:val="00552194"/>
    <w:rsid w:val="005539E0"/>
    <w:rsid w:val="00553C3B"/>
    <w:rsid w:val="005545B3"/>
    <w:rsid w:val="00554E86"/>
    <w:rsid w:val="00555BCD"/>
    <w:rsid w:val="00556CCC"/>
    <w:rsid w:val="0056236A"/>
    <w:rsid w:val="00563924"/>
    <w:rsid w:val="00564E7B"/>
    <w:rsid w:val="00566388"/>
    <w:rsid w:val="0056734D"/>
    <w:rsid w:val="0057189B"/>
    <w:rsid w:val="00587C6A"/>
    <w:rsid w:val="00590C55"/>
    <w:rsid w:val="00592176"/>
    <w:rsid w:val="00592913"/>
    <w:rsid w:val="00593CD7"/>
    <w:rsid w:val="0059781E"/>
    <w:rsid w:val="005A4CA9"/>
    <w:rsid w:val="005A51F8"/>
    <w:rsid w:val="005B7C17"/>
    <w:rsid w:val="005C0B26"/>
    <w:rsid w:val="005C0C87"/>
    <w:rsid w:val="005C2452"/>
    <w:rsid w:val="005C6096"/>
    <w:rsid w:val="005D09AA"/>
    <w:rsid w:val="005D192F"/>
    <w:rsid w:val="005D385D"/>
    <w:rsid w:val="005D5CD5"/>
    <w:rsid w:val="005D67B0"/>
    <w:rsid w:val="005E0CF9"/>
    <w:rsid w:val="005E4B7C"/>
    <w:rsid w:val="005E6826"/>
    <w:rsid w:val="005E7571"/>
    <w:rsid w:val="005F0422"/>
    <w:rsid w:val="005F05B1"/>
    <w:rsid w:val="005F08DD"/>
    <w:rsid w:val="005F0AF6"/>
    <w:rsid w:val="005F1AF7"/>
    <w:rsid w:val="005F3DB1"/>
    <w:rsid w:val="005F50B9"/>
    <w:rsid w:val="005F5224"/>
    <w:rsid w:val="005F5BB5"/>
    <w:rsid w:val="005F7836"/>
    <w:rsid w:val="006002F8"/>
    <w:rsid w:val="00601F5E"/>
    <w:rsid w:val="00602E3F"/>
    <w:rsid w:val="00603F33"/>
    <w:rsid w:val="0060532F"/>
    <w:rsid w:val="00606705"/>
    <w:rsid w:val="00606731"/>
    <w:rsid w:val="00606CAC"/>
    <w:rsid w:val="006077A2"/>
    <w:rsid w:val="00621C2A"/>
    <w:rsid w:val="006224E3"/>
    <w:rsid w:val="00625B2D"/>
    <w:rsid w:val="00626E14"/>
    <w:rsid w:val="00633E08"/>
    <w:rsid w:val="0063451D"/>
    <w:rsid w:val="0063750E"/>
    <w:rsid w:val="00644ADB"/>
    <w:rsid w:val="0065051C"/>
    <w:rsid w:val="006534F5"/>
    <w:rsid w:val="00653BF5"/>
    <w:rsid w:val="006628B8"/>
    <w:rsid w:val="00664C57"/>
    <w:rsid w:val="006766F7"/>
    <w:rsid w:val="00676F18"/>
    <w:rsid w:val="00685B0F"/>
    <w:rsid w:val="006934CC"/>
    <w:rsid w:val="00696A1A"/>
    <w:rsid w:val="006A0A29"/>
    <w:rsid w:val="006A23F7"/>
    <w:rsid w:val="006A3D89"/>
    <w:rsid w:val="006A5585"/>
    <w:rsid w:val="006B18D2"/>
    <w:rsid w:val="006B19F3"/>
    <w:rsid w:val="006B33BA"/>
    <w:rsid w:val="006C0391"/>
    <w:rsid w:val="006C2FCC"/>
    <w:rsid w:val="006C4A30"/>
    <w:rsid w:val="006C5E75"/>
    <w:rsid w:val="006C7662"/>
    <w:rsid w:val="006C7FD6"/>
    <w:rsid w:val="006D0BA5"/>
    <w:rsid w:val="006D235F"/>
    <w:rsid w:val="006D5887"/>
    <w:rsid w:val="006D5991"/>
    <w:rsid w:val="006E1CE9"/>
    <w:rsid w:val="006E56C4"/>
    <w:rsid w:val="006E6093"/>
    <w:rsid w:val="006E699C"/>
    <w:rsid w:val="006E6D80"/>
    <w:rsid w:val="006F01D1"/>
    <w:rsid w:val="006F65E8"/>
    <w:rsid w:val="006F7D32"/>
    <w:rsid w:val="00701245"/>
    <w:rsid w:val="00706F75"/>
    <w:rsid w:val="00707CF2"/>
    <w:rsid w:val="00714561"/>
    <w:rsid w:val="0071476C"/>
    <w:rsid w:val="00714F93"/>
    <w:rsid w:val="007177D5"/>
    <w:rsid w:val="00717A0E"/>
    <w:rsid w:val="00717F89"/>
    <w:rsid w:val="007203B7"/>
    <w:rsid w:val="0072128A"/>
    <w:rsid w:val="007222CB"/>
    <w:rsid w:val="00722E06"/>
    <w:rsid w:val="00724F51"/>
    <w:rsid w:val="00726BDA"/>
    <w:rsid w:val="0072731D"/>
    <w:rsid w:val="00731D7B"/>
    <w:rsid w:val="007353B3"/>
    <w:rsid w:val="00740CF8"/>
    <w:rsid w:val="007410CC"/>
    <w:rsid w:val="007428EF"/>
    <w:rsid w:val="00742A15"/>
    <w:rsid w:val="00744589"/>
    <w:rsid w:val="00745483"/>
    <w:rsid w:val="0074608E"/>
    <w:rsid w:val="00750809"/>
    <w:rsid w:val="007517FD"/>
    <w:rsid w:val="00751E23"/>
    <w:rsid w:val="007529C7"/>
    <w:rsid w:val="00752A92"/>
    <w:rsid w:val="0075389E"/>
    <w:rsid w:val="00762217"/>
    <w:rsid w:val="00764461"/>
    <w:rsid w:val="007671D4"/>
    <w:rsid w:val="0077200F"/>
    <w:rsid w:val="007727DE"/>
    <w:rsid w:val="00773535"/>
    <w:rsid w:val="007778AB"/>
    <w:rsid w:val="007813AF"/>
    <w:rsid w:val="007818E1"/>
    <w:rsid w:val="00787C62"/>
    <w:rsid w:val="00791C69"/>
    <w:rsid w:val="007A183C"/>
    <w:rsid w:val="007A2CDD"/>
    <w:rsid w:val="007A31FD"/>
    <w:rsid w:val="007A3970"/>
    <w:rsid w:val="007A490F"/>
    <w:rsid w:val="007A50FF"/>
    <w:rsid w:val="007A6722"/>
    <w:rsid w:val="007B08A2"/>
    <w:rsid w:val="007B21DC"/>
    <w:rsid w:val="007B24B8"/>
    <w:rsid w:val="007B2F9D"/>
    <w:rsid w:val="007B4D69"/>
    <w:rsid w:val="007B7EDB"/>
    <w:rsid w:val="007C0313"/>
    <w:rsid w:val="007C1888"/>
    <w:rsid w:val="007C2FBE"/>
    <w:rsid w:val="007C771A"/>
    <w:rsid w:val="007D4192"/>
    <w:rsid w:val="007D5F90"/>
    <w:rsid w:val="007E17D6"/>
    <w:rsid w:val="007E1E11"/>
    <w:rsid w:val="007E431B"/>
    <w:rsid w:val="007F071B"/>
    <w:rsid w:val="007F2380"/>
    <w:rsid w:val="007F39C6"/>
    <w:rsid w:val="007F625E"/>
    <w:rsid w:val="0080002E"/>
    <w:rsid w:val="00802237"/>
    <w:rsid w:val="008073DB"/>
    <w:rsid w:val="00812C56"/>
    <w:rsid w:val="0081307A"/>
    <w:rsid w:val="0081654E"/>
    <w:rsid w:val="00816B81"/>
    <w:rsid w:val="008216D5"/>
    <w:rsid w:val="00827D68"/>
    <w:rsid w:val="00830224"/>
    <w:rsid w:val="00830A71"/>
    <w:rsid w:val="00831AEA"/>
    <w:rsid w:val="008409D6"/>
    <w:rsid w:val="00840E20"/>
    <w:rsid w:val="00852A31"/>
    <w:rsid w:val="00854855"/>
    <w:rsid w:val="00870751"/>
    <w:rsid w:val="00874655"/>
    <w:rsid w:val="0087479F"/>
    <w:rsid w:val="00882DBC"/>
    <w:rsid w:val="00883D98"/>
    <w:rsid w:val="0088557B"/>
    <w:rsid w:val="0088648C"/>
    <w:rsid w:val="00891121"/>
    <w:rsid w:val="008A0958"/>
    <w:rsid w:val="008A355C"/>
    <w:rsid w:val="008A5D92"/>
    <w:rsid w:val="008A7C9C"/>
    <w:rsid w:val="008A7CCE"/>
    <w:rsid w:val="008B31F3"/>
    <w:rsid w:val="008B399B"/>
    <w:rsid w:val="008B5FC2"/>
    <w:rsid w:val="008B6239"/>
    <w:rsid w:val="008C3AD8"/>
    <w:rsid w:val="008C7B35"/>
    <w:rsid w:val="008D27CC"/>
    <w:rsid w:val="008D4019"/>
    <w:rsid w:val="008D4244"/>
    <w:rsid w:val="008D4688"/>
    <w:rsid w:val="008D56B6"/>
    <w:rsid w:val="008D6ECE"/>
    <w:rsid w:val="008E06AE"/>
    <w:rsid w:val="008E2350"/>
    <w:rsid w:val="008E3582"/>
    <w:rsid w:val="008E3DE2"/>
    <w:rsid w:val="008E4345"/>
    <w:rsid w:val="008E440B"/>
    <w:rsid w:val="008F0AA0"/>
    <w:rsid w:val="009002F5"/>
    <w:rsid w:val="0090068B"/>
    <w:rsid w:val="0090693B"/>
    <w:rsid w:val="009078AF"/>
    <w:rsid w:val="00913FDC"/>
    <w:rsid w:val="00915197"/>
    <w:rsid w:val="00920D31"/>
    <w:rsid w:val="0092134F"/>
    <w:rsid w:val="009237B1"/>
    <w:rsid w:val="00925243"/>
    <w:rsid w:val="009271CC"/>
    <w:rsid w:val="0093411D"/>
    <w:rsid w:val="009344DE"/>
    <w:rsid w:val="00941AB9"/>
    <w:rsid w:val="009423C1"/>
    <w:rsid w:val="00942D4D"/>
    <w:rsid w:val="00944437"/>
    <w:rsid w:val="00944F4B"/>
    <w:rsid w:val="00947847"/>
    <w:rsid w:val="00950A1E"/>
    <w:rsid w:val="00956EC7"/>
    <w:rsid w:val="00960A20"/>
    <w:rsid w:val="00961C32"/>
    <w:rsid w:val="00962660"/>
    <w:rsid w:val="00964D65"/>
    <w:rsid w:val="00964F21"/>
    <w:rsid w:val="00964F73"/>
    <w:rsid w:val="00965028"/>
    <w:rsid w:val="00972311"/>
    <w:rsid w:val="00974070"/>
    <w:rsid w:val="00974A9A"/>
    <w:rsid w:val="00974C33"/>
    <w:rsid w:val="009779CF"/>
    <w:rsid w:val="00981E97"/>
    <w:rsid w:val="009857CF"/>
    <w:rsid w:val="0098605A"/>
    <w:rsid w:val="00986B2C"/>
    <w:rsid w:val="00990C54"/>
    <w:rsid w:val="0099288C"/>
    <w:rsid w:val="009928FD"/>
    <w:rsid w:val="0099322E"/>
    <w:rsid w:val="009A246E"/>
    <w:rsid w:val="009A792B"/>
    <w:rsid w:val="009B234E"/>
    <w:rsid w:val="009B4D6E"/>
    <w:rsid w:val="009B6757"/>
    <w:rsid w:val="009C033A"/>
    <w:rsid w:val="009C1B57"/>
    <w:rsid w:val="009C2BB3"/>
    <w:rsid w:val="009C6240"/>
    <w:rsid w:val="009D25DC"/>
    <w:rsid w:val="009D31E4"/>
    <w:rsid w:val="009D40BB"/>
    <w:rsid w:val="009D488A"/>
    <w:rsid w:val="009D56FE"/>
    <w:rsid w:val="009E575D"/>
    <w:rsid w:val="009E73AA"/>
    <w:rsid w:val="009F066D"/>
    <w:rsid w:val="009F0FB9"/>
    <w:rsid w:val="009F27CF"/>
    <w:rsid w:val="009F38B1"/>
    <w:rsid w:val="009F40EA"/>
    <w:rsid w:val="009F4F96"/>
    <w:rsid w:val="00A0020B"/>
    <w:rsid w:val="00A01588"/>
    <w:rsid w:val="00A0176D"/>
    <w:rsid w:val="00A01E5D"/>
    <w:rsid w:val="00A0364B"/>
    <w:rsid w:val="00A04491"/>
    <w:rsid w:val="00A04550"/>
    <w:rsid w:val="00A1212D"/>
    <w:rsid w:val="00A122C6"/>
    <w:rsid w:val="00A13D7A"/>
    <w:rsid w:val="00A177B1"/>
    <w:rsid w:val="00A178E8"/>
    <w:rsid w:val="00A17C06"/>
    <w:rsid w:val="00A22B64"/>
    <w:rsid w:val="00A2370C"/>
    <w:rsid w:val="00A23852"/>
    <w:rsid w:val="00A25DBE"/>
    <w:rsid w:val="00A26E38"/>
    <w:rsid w:val="00A27406"/>
    <w:rsid w:val="00A3077E"/>
    <w:rsid w:val="00A333E5"/>
    <w:rsid w:val="00A43CC0"/>
    <w:rsid w:val="00A4517A"/>
    <w:rsid w:val="00A46042"/>
    <w:rsid w:val="00A46B55"/>
    <w:rsid w:val="00A47CC2"/>
    <w:rsid w:val="00A5031E"/>
    <w:rsid w:val="00A56069"/>
    <w:rsid w:val="00A65A2A"/>
    <w:rsid w:val="00A67D0D"/>
    <w:rsid w:val="00A71AF2"/>
    <w:rsid w:val="00A71DAA"/>
    <w:rsid w:val="00A75669"/>
    <w:rsid w:val="00A827BC"/>
    <w:rsid w:val="00A8285D"/>
    <w:rsid w:val="00A879ED"/>
    <w:rsid w:val="00A91A6B"/>
    <w:rsid w:val="00A91DFC"/>
    <w:rsid w:val="00A92A05"/>
    <w:rsid w:val="00A97E07"/>
    <w:rsid w:val="00AA09EC"/>
    <w:rsid w:val="00AA1EC4"/>
    <w:rsid w:val="00AA2D03"/>
    <w:rsid w:val="00AA5D45"/>
    <w:rsid w:val="00AB0636"/>
    <w:rsid w:val="00AB1271"/>
    <w:rsid w:val="00AB51E2"/>
    <w:rsid w:val="00AB5C78"/>
    <w:rsid w:val="00AB633E"/>
    <w:rsid w:val="00AB66D0"/>
    <w:rsid w:val="00AC0EAF"/>
    <w:rsid w:val="00AC16B2"/>
    <w:rsid w:val="00AC3C57"/>
    <w:rsid w:val="00AC4BD6"/>
    <w:rsid w:val="00AC5376"/>
    <w:rsid w:val="00AC5B0B"/>
    <w:rsid w:val="00AC6936"/>
    <w:rsid w:val="00AD01B8"/>
    <w:rsid w:val="00AD5B1E"/>
    <w:rsid w:val="00AD6320"/>
    <w:rsid w:val="00AD7446"/>
    <w:rsid w:val="00AE2CED"/>
    <w:rsid w:val="00AE6B51"/>
    <w:rsid w:val="00AF1F40"/>
    <w:rsid w:val="00AF5367"/>
    <w:rsid w:val="00B00773"/>
    <w:rsid w:val="00B04851"/>
    <w:rsid w:val="00B0681C"/>
    <w:rsid w:val="00B178DF"/>
    <w:rsid w:val="00B208B6"/>
    <w:rsid w:val="00B24D34"/>
    <w:rsid w:val="00B25E5A"/>
    <w:rsid w:val="00B25ED7"/>
    <w:rsid w:val="00B27863"/>
    <w:rsid w:val="00B328A4"/>
    <w:rsid w:val="00B376A6"/>
    <w:rsid w:val="00B410D2"/>
    <w:rsid w:val="00B437AE"/>
    <w:rsid w:val="00B44F63"/>
    <w:rsid w:val="00B4632F"/>
    <w:rsid w:val="00B4765A"/>
    <w:rsid w:val="00B53F59"/>
    <w:rsid w:val="00B5400B"/>
    <w:rsid w:val="00B5624D"/>
    <w:rsid w:val="00B600CA"/>
    <w:rsid w:val="00B6183B"/>
    <w:rsid w:val="00B65AEF"/>
    <w:rsid w:val="00B717E2"/>
    <w:rsid w:val="00B71AC9"/>
    <w:rsid w:val="00B83816"/>
    <w:rsid w:val="00B87A80"/>
    <w:rsid w:val="00B94A36"/>
    <w:rsid w:val="00B94AFE"/>
    <w:rsid w:val="00B95EA4"/>
    <w:rsid w:val="00BA07B4"/>
    <w:rsid w:val="00BA17C6"/>
    <w:rsid w:val="00BA21B8"/>
    <w:rsid w:val="00BA2532"/>
    <w:rsid w:val="00BA29F9"/>
    <w:rsid w:val="00BA625D"/>
    <w:rsid w:val="00BA65D1"/>
    <w:rsid w:val="00BA6C75"/>
    <w:rsid w:val="00BB4C09"/>
    <w:rsid w:val="00BC31CE"/>
    <w:rsid w:val="00BC4A17"/>
    <w:rsid w:val="00BD00E5"/>
    <w:rsid w:val="00BD135F"/>
    <w:rsid w:val="00BD1660"/>
    <w:rsid w:val="00BD28D5"/>
    <w:rsid w:val="00BD296A"/>
    <w:rsid w:val="00BD4436"/>
    <w:rsid w:val="00BD4B4C"/>
    <w:rsid w:val="00BD5A7E"/>
    <w:rsid w:val="00BD769A"/>
    <w:rsid w:val="00BE3177"/>
    <w:rsid w:val="00BF0420"/>
    <w:rsid w:val="00BF09B5"/>
    <w:rsid w:val="00BF1B9C"/>
    <w:rsid w:val="00BF1F4B"/>
    <w:rsid w:val="00C0032C"/>
    <w:rsid w:val="00C02B45"/>
    <w:rsid w:val="00C05931"/>
    <w:rsid w:val="00C105EB"/>
    <w:rsid w:val="00C12FFD"/>
    <w:rsid w:val="00C163CE"/>
    <w:rsid w:val="00C209BF"/>
    <w:rsid w:val="00C22683"/>
    <w:rsid w:val="00C26D81"/>
    <w:rsid w:val="00C27160"/>
    <w:rsid w:val="00C27AEE"/>
    <w:rsid w:val="00C33AFA"/>
    <w:rsid w:val="00C344E5"/>
    <w:rsid w:val="00C35D42"/>
    <w:rsid w:val="00C369E7"/>
    <w:rsid w:val="00C379BD"/>
    <w:rsid w:val="00C41B83"/>
    <w:rsid w:val="00C43FF3"/>
    <w:rsid w:val="00C50EE2"/>
    <w:rsid w:val="00C56A90"/>
    <w:rsid w:val="00C57D92"/>
    <w:rsid w:val="00C60437"/>
    <w:rsid w:val="00C60F85"/>
    <w:rsid w:val="00C62271"/>
    <w:rsid w:val="00C62E12"/>
    <w:rsid w:val="00C63426"/>
    <w:rsid w:val="00C63C36"/>
    <w:rsid w:val="00C6445D"/>
    <w:rsid w:val="00C66759"/>
    <w:rsid w:val="00C70C33"/>
    <w:rsid w:val="00C71C98"/>
    <w:rsid w:val="00C73894"/>
    <w:rsid w:val="00C74A86"/>
    <w:rsid w:val="00C800E5"/>
    <w:rsid w:val="00C81B90"/>
    <w:rsid w:val="00C83FB7"/>
    <w:rsid w:val="00C8532B"/>
    <w:rsid w:val="00C85A24"/>
    <w:rsid w:val="00C85A77"/>
    <w:rsid w:val="00C8747F"/>
    <w:rsid w:val="00C901D4"/>
    <w:rsid w:val="00C9261C"/>
    <w:rsid w:val="00C92963"/>
    <w:rsid w:val="00C95496"/>
    <w:rsid w:val="00CB005E"/>
    <w:rsid w:val="00CB24A2"/>
    <w:rsid w:val="00CB34B5"/>
    <w:rsid w:val="00CB4294"/>
    <w:rsid w:val="00CB65EF"/>
    <w:rsid w:val="00CB6B77"/>
    <w:rsid w:val="00CC02B8"/>
    <w:rsid w:val="00CC17D7"/>
    <w:rsid w:val="00CC4148"/>
    <w:rsid w:val="00CC4F46"/>
    <w:rsid w:val="00CC7084"/>
    <w:rsid w:val="00CD088F"/>
    <w:rsid w:val="00CD1033"/>
    <w:rsid w:val="00CD17CE"/>
    <w:rsid w:val="00CD2CDD"/>
    <w:rsid w:val="00CD4BC6"/>
    <w:rsid w:val="00CD55C6"/>
    <w:rsid w:val="00CD6474"/>
    <w:rsid w:val="00CE0D16"/>
    <w:rsid w:val="00CE5703"/>
    <w:rsid w:val="00CE58C8"/>
    <w:rsid w:val="00CF03AE"/>
    <w:rsid w:val="00CF2F72"/>
    <w:rsid w:val="00CF4D8A"/>
    <w:rsid w:val="00CF53E9"/>
    <w:rsid w:val="00CF6EA7"/>
    <w:rsid w:val="00D02038"/>
    <w:rsid w:val="00D02793"/>
    <w:rsid w:val="00D0679B"/>
    <w:rsid w:val="00D06FF5"/>
    <w:rsid w:val="00D1324E"/>
    <w:rsid w:val="00D1455B"/>
    <w:rsid w:val="00D23A7F"/>
    <w:rsid w:val="00D24345"/>
    <w:rsid w:val="00D26368"/>
    <w:rsid w:val="00D30054"/>
    <w:rsid w:val="00D3262B"/>
    <w:rsid w:val="00D351EA"/>
    <w:rsid w:val="00D3613D"/>
    <w:rsid w:val="00D37909"/>
    <w:rsid w:val="00D41A8E"/>
    <w:rsid w:val="00D43A30"/>
    <w:rsid w:val="00D4498A"/>
    <w:rsid w:val="00D45C7F"/>
    <w:rsid w:val="00D52E37"/>
    <w:rsid w:val="00D55909"/>
    <w:rsid w:val="00D55F3A"/>
    <w:rsid w:val="00D56F24"/>
    <w:rsid w:val="00D609E8"/>
    <w:rsid w:val="00D61D4C"/>
    <w:rsid w:val="00D6482F"/>
    <w:rsid w:val="00D71EA3"/>
    <w:rsid w:val="00D71F48"/>
    <w:rsid w:val="00D75A8A"/>
    <w:rsid w:val="00D7622B"/>
    <w:rsid w:val="00D807E1"/>
    <w:rsid w:val="00D81B92"/>
    <w:rsid w:val="00D85268"/>
    <w:rsid w:val="00D85A5F"/>
    <w:rsid w:val="00D85DE2"/>
    <w:rsid w:val="00D934FA"/>
    <w:rsid w:val="00D939D9"/>
    <w:rsid w:val="00DB01FE"/>
    <w:rsid w:val="00DB2E67"/>
    <w:rsid w:val="00DB4C0A"/>
    <w:rsid w:val="00DB67BC"/>
    <w:rsid w:val="00DC09C4"/>
    <w:rsid w:val="00DC12C3"/>
    <w:rsid w:val="00DC461C"/>
    <w:rsid w:val="00DC6DF0"/>
    <w:rsid w:val="00DD2E03"/>
    <w:rsid w:val="00DD31B0"/>
    <w:rsid w:val="00DE00EE"/>
    <w:rsid w:val="00DE137F"/>
    <w:rsid w:val="00DE6F9A"/>
    <w:rsid w:val="00DF1547"/>
    <w:rsid w:val="00DF4BDC"/>
    <w:rsid w:val="00E03139"/>
    <w:rsid w:val="00E13A1D"/>
    <w:rsid w:val="00E15865"/>
    <w:rsid w:val="00E15B6D"/>
    <w:rsid w:val="00E174E7"/>
    <w:rsid w:val="00E263B9"/>
    <w:rsid w:val="00E27445"/>
    <w:rsid w:val="00E27E87"/>
    <w:rsid w:val="00E30121"/>
    <w:rsid w:val="00E30DFE"/>
    <w:rsid w:val="00E35C9B"/>
    <w:rsid w:val="00E36A09"/>
    <w:rsid w:val="00E42505"/>
    <w:rsid w:val="00E46BA5"/>
    <w:rsid w:val="00E60DA5"/>
    <w:rsid w:val="00E61979"/>
    <w:rsid w:val="00E62E95"/>
    <w:rsid w:val="00E64AE9"/>
    <w:rsid w:val="00E65EED"/>
    <w:rsid w:val="00E66EE4"/>
    <w:rsid w:val="00E71D31"/>
    <w:rsid w:val="00E72005"/>
    <w:rsid w:val="00E73C57"/>
    <w:rsid w:val="00E7515B"/>
    <w:rsid w:val="00E80262"/>
    <w:rsid w:val="00E852B0"/>
    <w:rsid w:val="00E8553D"/>
    <w:rsid w:val="00E92BD8"/>
    <w:rsid w:val="00EA0253"/>
    <w:rsid w:val="00EA08D4"/>
    <w:rsid w:val="00EB0CFE"/>
    <w:rsid w:val="00EB5951"/>
    <w:rsid w:val="00EB59B3"/>
    <w:rsid w:val="00EB6014"/>
    <w:rsid w:val="00EC1E4F"/>
    <w:rsid w:val="00EC6FE0"/>
    <w:rsid w:val="00ED523B"/>
    <w:rsid w:val="00ED609A"/>
    <w:rsid w:val="00ED7D11"/>
    <w:rsid w:val="00EE006C"/>
    <w:rsid w:val="00EE08F4"/>
    <w:rsid w:val="00EE1E00"/>
    <w:rsid w:val="00EE5718"/>
    <w:rsid w:val="00EE75FE"/>
    <w:rsid w:val="00EF07A9"/>
    <w:rsid w:val="00EF6373"/>
    <w:rsid w:val="00F013AE"/>
    <w:rsid w:val="00F020DC"/>
    <w:rsid w:val="00F02AE0"/>
    <w:rsid w:val="00F02BD0"/>
    <w:rsid w:val="00F02EAF"/>
    <w:rsid w:val="00F05B8D"/>
    <w:rsid w:val="00F177AA"/>
    <w:rsid w:val="00F204CE"/>
    <w:rsid w:val="00F207F4"/>
    <w:rsid w:val="00F20A86"/>
    <w:rsid w:val="00F21FF9"/>
    <w:rsid w:val="00F249C6"/>
    <w:rsid w:val="00F35167"/>
    <w:rsid w:val="00F3590A"/>
    <w:rsid w:val="00F4326B"/>
    <w:rsid w:val="00F4552E"/>
    <w:rsid w:val="00F455BF"/>
    <w:rsid w:val="00F4588A"/>
    <w:rsid w:val="00F511B1"/>
    <w:rsid w:val="00F56264"/>
    <w:rsid w:val="00F62188"/>
    <w:rsid w:val="00F63F91"/>
    <w:rsid w:val="00F64117"/>
    <w:rsid w:val="00F641AB"/>
    <w:rsid w:val="00F703A4"/>
    <w:rsid w:val="00F72658"/>
    <w:rsid w:val="00F731FB"/>
    <w:rsid w:val="00F74B6D"/>
    <w:rsid w:val="00F752B6"/>
    <w:rsid w:val="00F76B87"/>
    <w:rsid w:val="00F8024B"/>
    <w:rsid w:val="00F809CE"/>
    <w:rsid w:val="00F859D4"/>
    <w:rsid w:val="00F90154"/>
    <w:rsid w:val="00F96365"/>
    <w:rsid w:val="00F97FC4"/>
    <w:rsid w:val="00FA032F"/>
    <w:rsid w:val="00FA3D42"/>
    <w:rsid w:val="00FA43D9"/>
    <w:rsid w:val="00FA5FA9"/>
    <w:rsid w:val="00FA674B"/>
    <w:rsid w:val="00FA67D1"/>
    <w:rsid w:val="00FB04D4"/>
    <w:rsid w:val="00FB2D8B"/>
    <w:rsid w:val="00FB7315"/>
    <w:rsid w:val="00FC7921"/>
    <w:rsid w:val="00FC7A95"/>
    <w:rsid w:val="00FD280D"/>
    <w:rsid w:val="00FD369C"/>
    <w:rsid w:val="00FD3948"/>
    <w:rsid w:val="00FD6095"/>
    <w:rsid w:val="00FD7E16"/>
    <w:rsid w:val="00FE19BE"/>
    <w:rsid w:val="00FF0974"/>
    <w:rsid w:val="00FF176E"/>
    <w:rsid w:val="00FF4981"/>
    <w:rsid w:val="00FF5723"/>
    <w:rsid w:val="00FF6632"/>
    <w:rsid w:val="00FF7E1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0B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981"/>
    <w:rPr>
      <w:rFonts w:eastAsia="SimSun"/>
      <w:sz w:val="24"/>
      <w:szCs w:val="24"/>
      <w:lang w:eastAsia="zh-CN"/>
    </w:rPr>
  </w:style>
  <w:style w:type="paragraph" w:styleId="1">
    <w:name w:val="heading 1"/>
    <w:basedOn w:val="a"/>
    <w:next w:val="a"/>
    <w:qFormat/>
    <w:rsid w:val="00FF4981"/>
    <w:pPr>
      <w:keepNext/>
      <w:spacing w:after="120"/>
      <w:outlineLvl w:val="0"/>
    </w:pPr>
    <w:rPr>
      <w:rFonts w:ascii="Arial" w:eastAsia="Times New Roman" w:hAnsi="Arial"/>
      <w:b/>
      <w:bCs/>
      <w:sz w:val="26"/>
      <w:lang w:eastAsia="en-US"/>
    </w:rPr>
  </w:style>
  <w:style w:type="paragraph" w:styleId="2">
    <w:name w:val="heading 2"/>
    <w:basedOn w:val="a"/>
    <w:next w:val="a"/>
    <w:link w:val="20"/>
    <w:uiPriority w:val="9"/>
    <w:unhideWhenUsed/>
    <w:qFormat/>
    <w:rsid w:val="006766F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fr-CH" w:eastAsia="en-US"/>
    </w:rPr>
  </w:style>
  <w:style w:type="paragraph" w:styleId="3">
    <w:name w:val="heading 3"/>
    <w:basedOn w:val="a"/>
    <w:next w:val="a"/>
    <w:link w:val="30"/>
    <w:uiPriority w:val="9"/>
    <w:semiHidden/>
    <w:unhideWhenUsed/>
    <w:qFormat/>
    <w:rsid w:val="00FF49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49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an">
    <w:name w:val="sian"/>
    <w:basedOn w:val="a"/>
    <w:rsid w:val="00FF4981"/>
    <w:pPr>
      <w:widowControl w:val="0"/>
      <w:overflowPunct w:val="0"/>
      <w:autoSpaceDE w:val="0"/>
      <w:autoSpaceDN w:val="0"/>
      <w:adjustRightInd w:val="0"/>
      <w:spacing w:line="360" w:lineRule="atLeast"/>
      <w:jc w:val="both"/>
      <w:textAlignment w:val="baseline"/>
    </w:pPr>
    <w:rPr>
      <w:rFonts w:eastAsia="Times New Roman"/>
      <w:szCs w:val="20"/>
      <w:lang w:val="en-US" w:eastAsia="ko-KR"/>
    </w:rPr>
  </w:style>
  <w:style w:type="character" w:styleId="a3">
    <w:name w:val="Hyperlink"/>
    <w:basedOn w:val="a0"/>
    <w:rsid w:val="00FF4981"/>
    <w:rPr>
      <w:color w:val="0000FF"/>
      <w:u w:val="single"/>
    </w:rPr>
  </w:style>
  <w:style w:type="paragraph" w:styleId="a4">
    <w:name w:val="Balloon Text"/>
    <w:basedOn w:val="a"/>
    <w:semiHidden/>
    <w:rsid w:val="00FF4981"/>
    <w:rPr>
      <w:rFonts w:ascii="Tahoma" w:hAnsi="Tahoma" w:cs="Tahoma"/>
      <w:sz w:val="16"/>
      <w:szCs w:val="16"/>
    </w:rPr>
  </w:style>
  <w:style w:type="character" w:styleId="a5">
    <w:name w:val="annotation reference"/>
    <w:basedOn w:val="a0"/>
    <w:semiHidden/>
    <w:rsid w:val="00FF4981"/>
    <w:rPr>
      <w:sz w:val="16"/>
      <w:szCs w:val="16"/>
    </w:rPr>
  </w:style>
  <w:style w:type="paragraph" w:styleId="a6">
    <w:name w:val="annotation text"/>
    <w:basedOn w:val="a"/>
    <w:link w:val="a7"/>
    <w:rsid w:val="00FF4981"/>
    <w:rPr>
      <w:sz w:val="20"/>
      <w:szCs w:val="20"/>
    </w:rPr>
  </w:style>
  <w:style w:type="paragraph" w:styleId="a8">
    <w:name w:val="annotation subject"/>
    <w:basedOn w:val="a6"/>
    <w:next w:val="a6"/>
    <w:semiHidden/>
    <w:rsid w:val="00FF4981"/>
    <w:rPr>
      <w:b/>
      <w:bCs/>
    </w:rPr>
  </w:style>
  <w:style w:type="paragraph" w:styleId="a9">
    <w:name w:val="header"/>
    <w:basedOn w:val="a"/>
    <w:link w:val="aa"/>
    <w:uiPriority w:val="99"/>
    <w:rsid w:val="00FF4981"/>
    <w:pPr>
      <w:tabs>
        <w:tab w:val="center" w:pos="4536"/>
        <w:tab w:val="right" w:pos="9072"/>
      </w:tabs>
    </w:pPr>
  </w:style>
  <w:style w:type="character" w:styleId="ab">
    <w:name w:val="page number"/>
    <w:basedOn w:val="a0"/>
    <w:rsid w:val="00FF4981"/>
  </w:style>
  <w:style w:type="paragraph" w:styleId="ac">
    <w:name w:val="footer"/>
    <w:basedOn w:val="a"/>
    <w:link w:val="ad"/>
    <w:uiPriority w:val="99"/>
    <w:rsid w:val="00FF4981"/>
    <w:pPr>
      <w:tabs>
        <w:tab w:val="center" w:pos="4536"/>
        <w:tab w:val="right" w:pos="9072"/>
      </w:tabs>
    </w:pPr>
  </w:style>
  <w:style w:type="character" w:customStyle="1" w:styleId="30">
    <w:name w:val="Заголовок 3 Знак"/>
    <w:basedOn w:val="a0"/>
    <w:link w:val="3"/>
    <w:uiPriority w:val="9"/>
    <w:semiHidden/>
    <w:rsid w:val="00FF4981"/>
    <w:rPr>
      <w:rFonts w:asciiTheme="majorHAnsi" w:eastAsiaTheme="majorEastAsia" w:hAnsiTheme="majorHAnsi" w:cstheme="majorBidi"/>
      <w:b/>
      <w:bCs/>
      <w:color w:val="4F81BD" w:themeColor="accent1"/>
      <w:sz w:val="24"/>
      <w:szCs w:val="24"/>
      <w:lang w:eastAsia="zh-CN"/>
    </w:rPr>
  </w:style>
  <w:style w:type="character" w:customStyle="1" w:styleId="40">
    <w:name w:val="Заголовок 4 Знак"/>
    <w:basedOn w:val="a0"/>
    <w:link w:val="4"/>
    <w:uiPriority w:val="9"/>
    <w:semiHidden/>
    <w:rsid w:val="00FF4981"/>
    <w:rPr>
      <w:rFonts w:asciiTheme="majorHAnsi" w:eastAsiaTheme="majorEastAsia" w:hAnsiTheme="majorHAnsi" w:cstheme="majorBidi"/>
      <w:b/>
      <w:bCs/>
      <w:i/>
      <w:iCs/>
      <w:color w:val="4F81BD" w:themeColor="accent1"/>
      <w:sz w:val="24"/>
      <w:szCs w:val="24"/>
      <w:lang w:eastAsia="zh-CN"/>
    </w:rPr>
  </w:style>
  <w:style w:type="character" w:customStyle="1" w:styleId="aa">
    <w:name w:val="Верхний колонтитул Знак"/>
    <w:basedOn w:val="a0"/>
    <w:link w:val="a9"/>
    <w:uiPriority w:val="99"/>
    <w:rsid w:val="00FF4981"/>
    <w:rPr>
      <w:rFonts w:eastAsia="SimSun"/>
      <w:sz w:val="24"/>
      <w:szCs w:val="24"/>
      <w:lang w:eastAsia="zh-CN"/>
    </w:rPr>
  </w:style>
  <w:style w:type="paragraph" w:styleId="ae">
    <w:name w:val="No Spacing"/>
    <w:uiPriority w:val="1"/>
    <w:qFormat/>
    <w:rsid w:val="00FF4981"/>
    <w:rPr>
      <w:rFonts w:eastAsia="SimSun"/>
      <w:sz w:val="24"/>
      <w:szCs w:val="24"/>
      <w:lang w:eastAsia="zh-CN"/>
    </w:rPr>
  </w:style>
  <w:style w:type="character" w:customStyle="1" w:styleId="ad">
    <w:name w:val="Нижний колонтитул Знак"/>
    <w:basedOn w:val="a0"/>
    <w:link w:val="ac"/>
    <w:uiPriority w:val="99"/>
    <w:rsid w:val="00FF4981"/>
    <w:rPr>
      <w:rFonts w:eastAsia="SimSun"/>
      <w:sz w:val="24"/>
      <w:szCs w:val="24"/>
      <w:lang w:eastAsia="zh-CN"/>
    </w:rPr>
  </w:style>
  <w:style w:type="paragraph" w:styleId="af">
    <w:name w:val="List Paragraph"/>
    <w:basedOn w:val="a"/>
    <w:uiPriority w:val="34"/>
    <w:qFormat/>
    <w:rsid w:val="00FF4981"/>
    <w:pPr>
      <w:ind w:left="720"/>
      <w:contextualSpacing/>
    </w:pPr>
  </w:style>
  <w:style w:type="paragraph" w:styleId="af0">
    <w:name w:val="Revision"/>
    <w:hidden/>
    <w:uiPriority w:val="99"/>
    <w:semiHidden/>
    <w:rsid w:val="00FF4981"/>
    <w:rPr>
      <w:rFonts w:eastAsia="SimSun"/>
      <w:sz w:val="24"/>
      <w:szCs w:val="24"/>
      <w:lang w:eastAsia="zh-CN"/>
    </w:rPr>
  </w:style>
  <w:style w:type="paragraph" w:styleId="af1">
    <w:name w:val="Normal (Web)"/>
    <w:basedOn w:val="a"/>
    <w:uiPriority w:val="99"/>
    <w:semiHidden/>
    <w:unhideWhenUsed/>
    <w:rsid w:val="00FF4981"/>
    <w:pPr>
      <w:spacing w:before="100" w:beforeAutospacing="1" w:after="100" w:afterAutospacing="1"/>
    </w:pPr>
    <w:rPr>
      <w:rFonts w:eastAsia="Times New Roman"/>
      <w:lang w:val="fr-CH" w:eastAsia="fr-CH"/>
    </w:rPr>
  </w:style>
  <w:style w:type="paragraph" w:customStyle="1" w:styleId="Default">
    <w:name w:val="Default"/>
    <w:rsid w:val="006934CC"/>
    <w:pPr>
      <w:autoSpaceDE w:val="0"/>
      <w:autoSpaceDN w:val="0"/>
      <w:adjustRightInd w:val="0"/>
    </w:pPr>
    <w:rPr>
      <w:rFonts w:ascii="Arial" w:hAnsi="Arial" w:cs="Arial"/>
      <w:color w:val="000000"/>
      <w:sz w:val="24"/>
      <w:szCs w:val="24"/>
    </w:rPr>
  </w:style>
  <w:style w:type="paragraph" w:styleId="af2">
    <w:name w:val="footnote text"/>
    <w:basedOn w:val="a"/>
    <w:link w:val="af3"/>
    <w:uiPriority w:val="99"/>
    <w:semiHidden/>
    <w:unhideWhenUsed/>
    <w:rsid w:val="00FF4981"/>
    <w:rPr>
      <w:sz w:val="20"/>
      <w:szCs w:val="20"/>
    </w:rPr>
  </w:style>
  <w:style w:type="character" w:customStyle="1" w:styleId="af3">
    <w:name w:val="Текст сноски Знак"/>
    <w:basedOn w:val="a0"/>
    <w:link w:val="af2"/>
    <w:uiPriority w:val="99"/>
    <w:semiHidden/>
    <w:rsid w:val="00FF4981"/>
    <w:rPr>
      <w:rFonts w:eastAsia="SimSun"/>
      <w:lang w:eastAsia="zh-CN"/>
    </w:rPr>
  </w:style>
  <w:style w:type="character" w:styleId="af4">
    <w:name w:val="footnote reference"/>
    <w:aliases w:val="BVI fnr Char Char,BVI fnr Car Car Char Char,BVI fnr Car Char Char,BVI fnr Car Car Car Car Char Char,BVI fnr Tegn Tegn Tegn Char Tegn Char Char Char,footnote number Char,BVI fnr,BVI fnr Car Car,BVI fnr Car,BVI fnr Car Ca"/>
    <w:basedOn w:val="a0"/>
    <w:uiPriority w:val="99"/>
    <w:semiHidden/>
    <w:unhideWhenUsed/>
    <w:rsid w:val="00FF4981"/>
    <w:rPr>
      <w:vertAlign w:val="superscript"/>
    </w:rPr>
  </w:style>
  <w:style w:type="character" w:customStyle="1" w:styleId="Mention1">
    <w:name w:val="Mention1"/>
    <w:basedOn w:val="a0"/>
    <w:uiPriority w:val="99"/>
    <w:semiHidden/>
    <w:unhideWhenUsed/>
    <w:rsid w:val="002925B1"/>
    <w:rPr>
      <w:color w:val="2B579A"/>
      <w:shd w:val="clear" w:color="auto" w:fill="E6E6E6"/>
    </w:rPr>
  </w:style>
  <w:style w:type="character" w:styleId="af5">
    <w:name w:val="Placeholder Text"/>
    <w:basedOn w:val="a0"/>
    <w:uiPriority w:val="99"/>
    <w:semiHidden/>
    <w:rsid w:val="002925B1"/>
    <w:rPr>
      <w:color w:val="808080"/>
    </w:rPr>
  </w:style>
  <w:style w:type="paragraph" w:customStyle="1" w:styleId="Pa10">
    <w:name w:val="Pa10"/>
    <w:basedOn w:val="Default"/>
    <w:next w:val="Default"/>
    <w:uiPriority w:val="99"/>
    <w:rsid w:val="009237B1"/>
    <w:pPr>
      <w:spacing w:line="181" w:lineRule="atLeast"/>
    </w:pPr>
    <w:rPr>
      <w:rFonts w:ascii="Caecilia LT Std Light" w:hAnsi="Caecilia LT Std Light" w:cs="Times New Roman"/>
      <w:color w:val="auto"/>
    </w:rPr>
  </w:style>
  <w:style w:type="character" w:customStyle="1" w:styleId="A80">
    <w:name w:val="A8"/>
    <w:uiPriority w:val="99"/>
    <w:rsid w:val="009237B1"/>
    <w:rPr>
      <w:rFonts w:ascii="Caecilia LT Std Roman" w:hAnsi="Caecilia LT Std Roman" w:cs="Caecilia LT Std Roman"/>
      <w:color w:val="000000"/>
      <w:sz w:val="18"/>
      <w:szCs w:val="18"/>
    </w:rPr>
  </w:style>
  <w:style w:type="character" w:customStyle="1" w:styleId="a7">
    <w:name w:val="Текст комментария Знак"/>
    <w:basedOn w:val="a0"/>
    <w:link w:val="a6"/>
    <w:rsid w:val="000E35C3"/>
    <w:rPr>
      <w:rFonts w:eastAsia="SimSun"/>
      <w:lang w:eastAsia="zh-CN"/>
    </w:rPr>
  </w:style>
  <w:style w:type="character" w:customStyle="1" w:styleId="20">
    <w:name w:val="Заголовок 2 Знак"/>
    <w:basedOn w:val="a0"/>
    <w:link w:val="2"/>
    <w:uiPriority w:val="9"/>
    <w:rsid w:val="006766F7"/>
    <w:rPr>
      <w:rFonts w:asciiTheme="majorHAnsi" w:eastAsiaTheme="majorEastAsia" w:hAnsiTheme="majorHAnsi" w:cstheme="majorBidi"/>
      <w:color w:val="365F91" w:themeColor="accent1" w:themeShade="BF"/>
      <w:sz w:val="26"/>
      <w:szCs w:val="26"/>
      <w:lang w:val="fr-CH" w:eastAsia="en-US"/>
    </w:rPr>
  </w:style>
  <w:style w:type="paragraph" w:customStyle="1" w:styleId="ColorfulList-Accent12">
    <w:name w:val="Colorful List - Accent 12"/>
    <w:basedOn w:val="a"/>
    <w:uiPriority w:val="34"/>
    <w:qFormat/>
    <w:rsid w:val="00F4326B"/>
    <w:pPr>
      <w:ind w:left="720"/>
      <w:contextualSpacing/>
    </w:pPr>
    <w:rPr>
      <w:rFonts w:eastAsia="MS Mincho"/>
      <w:lang w:eastAsia="en-GB"/>
    </w:rPr>
  </w:style>
  <w:style w:type="paragraph" w:customStyle="1" w:styleId="ColorfulList-Accent13">
    <w:name w:val="Colorful List - Accent 13"/>
    <w:basedOn w:val="a"/>
    <w:uiPriority w:val="34"/>
    <w:qFormat/>
    <w:rsid w:val="00391CC4"/>
    <w:pPr>
      <w:ind w:left="720"/>
      <w:contextualSpacing/>
    </w:pPr>
    <w:rPr>
      <w:rFonts w:eastAsia="MS Mincho"/>
      <w:lang w:eastAsia="en-GB"/>
    </w:rPr>
  </w:style>
  <w:style w:type="table" w:customStyle="1" w:styleId="GridTable41">
    <w:name w:val="Grid Table 41"/>
    <w:basedOn w:val="a1"/>
    <w:next w:val="GridTable4"/>
    <w:uiPriority w:val="49"/>
    <w:rsid w:val="00A46B55"/>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
    <w:name w:val="Grid Table 4"/>
    <w:basedOn w:val="a1"/>
    <w:uiPriority w:val="49"/>
    <w:rsid w:val="00A46B5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DLanguagecode">
    <w:name w:val="CoD Language code"/>
    <w:basedOn w:val="a"/>
    <w:link w:val="CoDLanguagecodeChar"/>
    <w:autoRedefine/>
    <w:qFormat/>
    <w:rsid w:val="001104CB"/>
    <w:pPr>
      <w:framePr w:hSpace="141" w:wrap="around" w:vAnchor="text" w:hAnchor="page" w:x="8510" w:yAlign="center"/>
      <w:jc w:val="right"/>
    </w:pPr>
    <w:rPr>
      <w:rFonts w:ascii="Arial" w:hAnsi="Arial" w:cs="Arial"/>
      <w:b/>
      <w:sz w:val="72"/>
      <w:szCs w:val="72"/>
    </w:rPr>
  </w:style>
  <w:style w:type="character" w:customStyle="1" w:styleId="CoDLanguagecodeChar">
    <w:name w:val="CoD Language code Char"/>
    <w:basedOn w:val="a0"/>
    <w:link w:val="CoDLanguagecode"/>
    <w:rsid w:val="001104CB"/>
    <w:rPr>
      <w:rFonts w:ascii="Arial" w:eastAsia="SimSun" w:hAnsi="Arial" w:cs="Arial"/>
      <w:b/>
      <w:sz w:val="72"/>
      <w:szCs w:val="72"/>
      <w:lang w:eastAsia="zh-CN"/>
    </w:rPr>
  </w:style>
  <w:style w:type="paragraph" w:customStyle="1" w:styleId="CoDTitle">
    <w:name w:val="CoD Title"/>
    <w:basedOn w:val="a"/>
    <w:qFormat/>
    <w:rsid w:val="00FF4981"/>
    <w:pPr>
      <w:jc w:val="center"/>
    </w:pPr>
    <w:rPr>
      <w:rFonts w:ascii="Arial" w:hAnsi="Arial"/>
      <w:b/>
      <w:caps/>
      <w:sz w:val="28"/>
    </w:rPr>
  </w:style>
  <w:style w:type="paragraph" w:customStyle="1" w:styleId="CoDReportPlaceDate">
    <w:name w:val="CoD Report Place &amp; Date"/>
    <w:basedOn w:val="a"/>
    <w:qFormat/>
    <w:rsid w:val="00FF4981"/>
    <w:pPr>
      <w:jc w:val="center"/>
    </w:pPr>
    <w:rPr>
      <w:rFonts w:ascii="Arial" w:hAnsi="Arial"/>
      <w:sz w:val="22"/>
    </w:rPr>
  </w:style>
  <w:style w:type="paragraph" w:customStyle="1" w:styleId="CoDReportTitle">
    <w:name w:val="CoD Report Title"/>
    <w:basedOn w:val="a"/>
    <w:link w:val="CoDReportTitleChar"/>
    <w:qFormat/>
    <w:rsid w:val="00FF4981"/>
    <w:pPr>
      <w:jc w:val="center"/>
    </w:pPr>
    <w:rPr>
      <w:rFonts w:ascii="Arial" w:hAnsi="Arial" w:cs="Arial"/>
      <w:b/>
      <w:bCs/>
      <w:sz w:val="28"/>
    </w:rPr>
  </w:style>
  <w:style w:type="paragraph" w:customStyle="1" w:styleId="CoDPreparedby">
    <w:name w:val="CoD Prepared by"/>
    <w:basedOn w:val="a"/>
    <w:qFormat/>
    <w:rsid w:val="00FF4981"/>
    <w:pPr>
      <w:jc w:val="center"/>
    </w:pPr>
    <w:rPr>
      <w:rFonts w:ascii="Arial" w:hAnsi="Arial"/>
      <w:b/>
      <w:sz w:val="22"/>
    </w:rPr>
  </w:style>
  <w:style w:type="paragraph" w:customStyle="1" w:styleId="CoDConferencePlaceDate">
    <w:name w:val="CoD Conference Place &amp; Date"/>
    <w:basedOn w:val="CoDReportPlaceDate"/>
    <w:qFormat/>
    <w:rsid w:val="00FF4981"/>
    <w:rPr>
      <w:sz w:val="24"/>
    </w:rPr>
  </w:style>
  <w:style w:type="paragraph" w:customStyle="1" w:styleId="CoDDocNo">
    <w:name w:val="CoD Doc No."/>
    <w:basedOn w:val="a"/>
    <w:qFormat/>
    <w:rsid w:val="00FF4981"/>
    <w:pPr>
      <w:framePr w:hSpace="141" w:wrap="around" w:vAnchor="text" w:hAnchor="page" w:x="8510" w:yAlign="center"/>
      <w:jc w:val="right"/>
    </w:pPr>
    <w:rPr>
      <w:rFonts w:ascii="Arial" w:hAnsi="Arial"/>
      <w:b/>
    </w:rPr>
  </w:style>
  <w:style w:type="paragraph" w:customStyle="1" w:styleId="CoDLanguage">
    <w:name w:val="CoD Language"/>
    <w:basedOn w:val="a"/>
    <w:qFormat/>
    <w:rsid w:val="00FF4981"/>
    <w:pPr>
      <w:framePr w:hSpace="141" w:wrap="around" w:vAnchor="text" w:hAnchor="page" w:x="8510" w:yAlign="center"/>
      <w:jc w:val="right"/>
    </w:pPr>
    <w:rPr>
      <w:rFonts w:ascii="Arial" w:hAnsi="Arial"/>
      <w:b/>
    </w:rPr>
  </w:style>
  <w:style w:type="paragraph" w:customStyle="1" w:styleId="CoDHeading1">
    <w:name w:val="CoD Heading 1"/>
    <w:basedOn w:val="3"/>
    <w:qFormat/>
    <w:rsid w:val="00FF4981"/>
    <w:pPr>
      <w:spacing w:before="360"/>
      <w:jc w:val="both"/>
    </w:pPr>
    <w:rPr>
      <w:rFonts w:ascii="Arial" w:hAnsi="Arial" w:cstheme="minorBidi"/>
      <w:caps/>
      <w:color w:val="auto"/>
      <w:szCs w:val="22"/>
    </w:rPr>
  </w:style>
  <w:style w:type="paragraph" w:customStyle="1" w:styleId="CoDNormal">
    <w:name w:val="CoD Normal"/>
    <w:basedOn w:val="a"/>
    <w:qFormat/>
    <w:rsid w:val="00FF4981"/>
    <w:pPr>
      <w:spacing w:before="240"/>
      <w:jc w:val="both"/>
    </w:pPr>
    <w:rPr>
      <w:rFonts w:ascii="Arial" w:hAnsi="Arial" w:cstheme="minorBidi"/>
      <w:sz w:val="22"/>
      <w:szCs w:val="22"/>
    </w:rPr>
  </w:style>
  <w:style w:type="paragraph" w:customStyle="1" w:styleId="CoDBullet">
    <w:name w:val="CoD Bullet"/>
    <w:basedOn w:val="af"/>
    <w:qFormat/>
    <w:rsid w:val="00FF4981"/>
    <w:pPr>
      <w:numPr>
        <w:numId w:val="22"/>
      </w:numPr>
      <w:spacing w:before="240"/>
      <w:jc w:val="both"/>
    </w:pPr>
    <w:rPr>
      <w:rFonts w:ascii="Arial" w:hAnsi="Arial" w:cstheme="minorBidi"/>
      <w:sz w:val="22"/>
      <w:szCs w:val="22"/>
    </w:rPr>
  </w:style>
  <w:style w:type="paragraph" w:customStyle="1" w:styleId="CoDHeading2">
    <w:name w:val="CoD Heading 2"/>
    <w:basedOn w:val="CoDNormal"/>
    <w:qFormat/>
    <w:rsid w:val="00FF4981"/>
    <w:pPr>
      <w:keepNext/>
      <w:keepLines/>
      <w:spacing w:before="360"/>
    </w:pPr>
    <w:rPr>
      <w:b/>
      <w:caps/>
    </w:rPr>
  </w:style>
  <w:style w:type="paragraph" w:customStyle="1" w:styleId="CoDHeading3">
    <w:name w:val="CoD Heading 3"/>
    <w:basedOn w:val="CoDNormal"/>
    <w:qFormat/>
    <w:rsid w:val="00FF4981"/>
    <w:pPr>
      <w:keepNext/>
      <w:keepLines/>
      <w:spacing w:before="360"/>
    </w:pPr>
    <w:rPr>
      <w:b/>
    </w:rPr>
  </w:style>
  <w:style w:type="paragraph" w:customStyle="1" w:styleId="CoDHeading4">
    <w:name w:val="CoD Heading 4"/>
    <w:basedOn w:val="CoDNormal"/>
    <w:qFormat/>
    <w:rsid w:val="00FF4981"/>
    <w:pPr>
      <w:keepNext/>
      <w:keepLines/>
    </w:pPr>
    <w:rPr>
      <w:i/>
    </w:rPr>
  </w:style>
  <w:style w:type="paragraph" w:customStyle="1" w:styleId="CoDFootnote">
    <w:name w:val="CoD Footnote"/>
    <w:basedOn w:val="af2"/>
    <w:qFormat/>
    <w:rsid w:val="00FF4981"/>
    <w:rPr>
      <w:rFonts w:ascii="Arial" w:hAnsi="Arial" w:cs="Arial"/>
      <w:sz w:val="18"/>
      <w:szCs w:val="18"/>
    </w:rPr>
  </w:style>
  <w:style w:type="paragraph" w:customStyle="1" w:styleId="CoDlanguagecode0">
    <w:name w:val="CoD language code"/>
    <w:basedOn w:val="a"/>
    <w:link w:val="CoDlanguagecodeChar0"/>
    <w:autoRedefine/>
    <w:qFormat/>
    <w:rsid w:val="00FF4981"/>
    <w:pPr>
      <w:framePr w:hSpace="141" w:wrap="around" w:vAnchor="text" w:hAnchor="page" w:x="8510" w:yAlign="center"/>
      <w:jc w:val="right"/>
    </w:pPr>
    <w:rPr>
      <w:rFonts w:ascii="Arial" w:hAnsi="Arial" w:cs="Arial"/>
      <w:b/>
      <w:sz w:val="72"/>
      <w:szCs w:val="72"/>
    </w:rPr>
  </w:style>
  <w:style w:type="character" w:customStyle="1" w:styleId="CoDlanguagecodeChar0">
    <w:name w:val="CoD language code Char"/>
    <w:basedOn w:val="a0"/>
    <w:link w:val="CoDlanguagecode0"/>
    <w:rsid w:val="00FF4981"/>
    <w:rPr>
      <w:rFonts w:ascii="Arial" w:eastAsia="SimSun" w:hAnsi="Arial" w:cs="Arial"/>
      <w:b/>
      <w:sz w:val="72"/>
      <w:szCs w:val="72"/>
      <w:lang w:eastAsia="zh-CN"/>
    </w:rPr>
  </w:style>
  <w:style w:type="paragraph" w:customStyle="1" w:styleId="CoDtypeofreport">
    <w:name w:val="CoD type of report"/>
    <w:basedOn w:val="CoDReportTitle"/>
    <w:link w:val="CoDtypeofreportChar"/>
    <w:qFormat/>
    <w:rsid w:val="00FF4981"/>
    <w:rPr>
      <w:caps/>
      <w:sz w:val="24"/>
    </w:rPr>
  </w:style>
  <w:style w:type="character" w:customStyle="1" w:styleId="CoDReportTitleChar">
    <w:name w:val="CoD Report Title Char"/>
    <w:basedOn w:val="a0"/>
    <w:link w:val="CoDReportTitle"/>
    <w:rsid w:val="00FF4981"/>
    <w:rPr>
      <w:rFonts w:ascii="Arial" w:eastAsia="SimSun" w:hAnsi="Arial" w:cs="Arial"/>
      <w:b/>
      <w:bCs/>
      <w:sz w:val="28"/>
      <w:szCs w:val="24"/>
      <w:lang w:eastAsia="zh-CN"/>
    </w:rPr>
  </w:style>
  <w:style w:type="character" w:customStyle="1" w:styleId="CoDtypeofreportChar">
    <w:name w:val="CoD type of report Char"/>
    <w:basedOn w:val="CoDReportTitleChar"/>
    <w:link w:val="CoDtypeofreport"/>
    <w:rsid w:val="00FF4981"/>
    <w:rPr>
      <w:rFonts w:ascii="Arial" w:eastAsia="SimSun" w:hAnsi="Arial" w:cs="Arial"/>
      <w:b/>
      <w:bCs/>
      <w:caps/>
      <w:sz w:val="24"/>
      <w:szCs w:val="24"/>
      <w:lang w:eastAsia="zh-CN"/>
    </w:rPr>
  </w:style>
  <w:style w:type="paragraph" w:styleId="af6">
    <w:name w:val="Date"/>
    <w:basedOn w:val="a"/>
    <w:next w:val="a"/>
    <w:link w:val="af7"/>
    <w:uiPriority w:val="99"/>
    <w:semiHidden/>
    <w:unhideWhenUsed/>
    <w:rsid w:val="007C771A"/>
  </w:style>
  <w:style w:type="character" w:customStyle="1" w:styleId="af7">
    <w:name w:val="Дата Знак"/>
    <w:basedOn w:val="a0"/>
    <w:link w:val="af6"/>
    <w:uiPriority w:val="99"/>
    <w:semiHidden/>
    <w:rsid w:val="007C771A"/>
    <w:rPr>
      <w:rFonts w:eastAsia="SimSun"/>
      <w:sz w:val="24"/>
      <w:szCs w:val="24"/>
      <w:lang w:eastAsia="zh-CN"/>
    </w:rPr>
  </w:style>
  <w:style w:type="character" w:styleId="af8">
    <w:name w:val="FollowedHyperlink"/>
    <w:basedOn w:val="a0"/>
    <w:uiPriority w:val="99"/>
    <w:semiHidden/>
    <w:unhideWhenUsed/>
    <w:rsid w:val="00D55F3A"/>
    <w:rPr>
      <w:color w:val="800080" w:themeColor="followedHyperlink"/>
      <w:u w:val="single"/>
    </w:rPr>
  </w:style>
  <w:style w:type="table" w:styleId="af9">
    <w:name w:val="Table Grid"/>
    <w:basedOn w:val="a1"/>
    <w:uiPriority w:val="59"/>
    <w:rsid w:val="004C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981"/>
    <w:rPr>
      <w:rFonts w:eastAsia="SimSun"/>
      <w:sz w:val="24"/>
      <w:szCs w:val="24"/>
      <w:lang w:eastAsia="zh-CN"/>
    </w:rPr>
  </w:style>
  <w:style w:type="paragraph" w:styleId="1">
    <w:name w:val="heading 1"/>
    <w:basedOn w:val="a"/>
    <w:next w:val="a"/>
    <w:qFormat/>
    <w:rsid w:val="00FF4981"/>
    <w:pPr>
      <w:keepNext/>
      <w:spacing w:after="120"/>
      <w:outlineLvl w:val="0"/>
    </w:pPr>
    <w:rPr>
      <w:rFonts w:ascii="Arial" w:eastAsia="Times New Roman" w:hAnsi="Arial"/>
      <w:b/>
      <w:bCs/>
      <w:sz w:val="26"/>
      <w:lang w:eastAsia="en-US"/>
    </w:rPr>
  </w:style>
  <w:style w:type="paragraph" w:styleId="2">
    <w:name w:val="heading 2"/>
    <w:basedOn w:val="a"/>
    <w:next w:val="a"/>
    <w:link w:val="20"/>
    <w:uiPriority w:val="9"/>
    <w:unhideWhenUsed/>
    <w:qFormat/>
    <w:rsid w:val="006766F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fr-CH" w:eastAsia="en-US"/>
    </w:rPr>
  </w:style>
  <w:style w:type="paragraph" w:styleId="3">
    <w:name w:val="heading 3"/>
    <w:basedOn w:val="a"/>
    <w:next w:val="a"/>
    <w:link w:val="30"/>
    <w:uiPriority w:val="9"/>
    <w:semiHidden/>
    <w:unhideWhenUsed/>
    <w:qFormat/>
    <w:rsid w:val="00FF49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49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an">
    <w:name w:val="sian"/>
    <w:basedOn w:val="a"/>
    <w:rsid w:val="00FF4981"/>
    <w:pPr>
      <w:widowControl w:val="0"/>
      <w:overflowPunct w:val="0"/>
      <w:autoSpaceDE w:val="0"/>
      <w:autoSpaceDN w:val="0"/>
      <w:adjustRightInd w:val="0"/>
      <w:spacing w:line="360" w:lineRule="atLeast"/>
      <w:jc w:val="both"/>
      <w:textAlignment w:val="baseline"/>
    </w:pPr>
    <w:rPr>
      <w:rFonts w:eastAsia="Times New Roman"/>
      <w:szCs w:val="20"/>
      <w:lang w:val="en-US" w:eastAsia="ko-KR"/>
    </w:rPr>
  </w:style>
  <w:style w:type="character" w:styleId="a3">
    <w:name w:val="Hyperlink"/>
    <w:basedOn w:val="a0"/>
    <w:rsid w:val="00FF4981"/>
    <w:rPr>
      <w:color w:val="0000FF"/>
      <w:u w:val="single"/>
    </w:rPr>
  </w:style>
  <w:style w:type="paragraph" w:styleId="a4">
    <w:name w:val="Balloon Text"/>
    <w:basedOn w:val="a"/>
    <w:semiHidden/>
    <w:rsid w:val="00FF4981"/>
    <w:rPr>
      <w:rFonts w:ascii="Tahoma" w:hAnsi="Tahoma" w:cs="Tahoma"/>
      <w:sz w:val="16"/>
      <w:szCs w:val="16"/>
    </w:rPr>
  </w:style>
  <w:style w:type="character" w:styleId="a5">
    <w:name w:val="annotation reference"/>
    <w:basedOn w:val="a0"/>
    <w:semiHidden/>
    <w:rsid w:val="00FF4981"/>
    <w:rPr>
      <w:sz w:val="16"/>
      <w:szCs w:val="16"/>
    </w:rPr>
  </w:style>
  <w:style w:type="paragraph" w:styleId="a6">
    <w:name w:val="annotation text"/>
    <w:basedOn w:val="a"/>
    <w:link w:val="a7"/>
    <w:rsid w:val="00FF4981"/>
    <w:rPr>
      <w:sz w:val="20"/>
      <w:szCs w:val="20"/>
    </w:rPr>
  </w:style>
  <w:style w:type="paragraph" w:styleId="a8">
    <w:name w:val="annotation subject"/>
    <w:basedOn w:val="a6"/>
    <w:next w:val="a6"/>
    <w:semiHidden/>
    <w:rsid w:val="00FF4981"/>
    <w:rPr>
      <w:b/>
      <w:bCs/>
    </w:rPr>
  </w:style>
  <w:style w:type="paragraph" w:styleId="a9">
    <w:name w:val="header"/>
    <w:basedOn w:val="a"/>
    <w:link w:val="aa"/>
    <w:uiPriority w:val="99"/>
    <w:rsid w:val="00FF4981"/>
    <w:pPr>
      <w:tabs>
        <w:tab w:val="center" w:pos="4536"/>
        <w:tab w:val="right" w:pos="9072"/>
      </w:tabs>
    </w:pPr>
  </w:style>
  <w:style w:type="character" w:styleId="ab">
    <w:name w:val="page number"/>
    <w:basedOn w:val="a0"/>
    <w:rsid w:val="00FF4981"/>
  </w:style>
  <w:style w:type="paragraph" w:styleId="ac">
    <w:name w:val="footer"/>
    <w:basedOn w:val="a"/>
    <w:link w:val="ad"/>
    <w:uiPriority w:val="99"/>
    <w:rsid w:val="00FF4981"/>
    <w:pPr>
      <w:tabs>
        <w:tab w:val="center" w:pos="4536"/>
        <w:tab w:val="right" w:pos="9072"/>
      </w:tabs>
    </w:pPr>
  </w:style>
  <w:style w:type="character" w:customStyle="1" w:styleId="30">
    <w:name w:val="Заголовок 3 Знак"/>
    <w:basedOn w:val="a0"/>
    <w:link w:val="3"/>
    <w:uiPriority w:val="9"/>
    <w:semiHidden/>
    <w:rsid w:val="00FF4981"/>
    <w:rPr>
      <w:rFonts w:asciiTheme="majorHAnsi" w:eastAsiaTheme="majorEastAsia" w:hAnsiTheme="majorHAnsi" w:cstheme="majorBidi"/>
      <w:b/>
      <w:bCs/>
      <w:color w:val="4F81BD" w:themeColor="accent1"/>
      <w:sz w:val="24"/>
      <w:szCs w:val="24"/>
      <w:lang w:eastAsia="zh-CN"/>
    </w:rPr>
  </w:style>
  <w:style w:type="character" w:customStyle="1" w:styleId="40">
    <w:name w:val="Заголовок 4 Знак"/>
    <w:basedOn w:val="a0"/>
    <w:link w:val="4"/>
    <w:uiPriority w:val="9"/>
    <w:semiHidden/>
    <w:rsid w:val="00FF4981"/>
    <w:rPr>
      <w:rFonts w:asciiTheme="majorHAnsi" w:eastAsiaTheme="majorEastAsia" w:hAnsiTheme="majorHAnsi" w:cstheme="majorBidi"/>
      <w:b/>
      <w:bCs/>
      <w:i/>
      <w:iCs/>
      <w:color w:val="4F81BD" w:themeColor="accent1"/>
      <w:sz w:val="24"/>
      <w:szCs w:val="24"/>
      <w:lang w:eastAsia="zh-CN"/>
    </w:rPr>
  </w:style>
  <w:style w:type="character" w:customStyle="1" w:styleId="aa">
    <w:name w:val="Верхний колонтитул Знак"/>
    <w:basedOn w:val="a0"/>
    <w:link w:val="a9"/>
    <w:uiPriority w:val="99"/>
    <w:rsid w:val="00FF4981"/>
    <w:rPr>
      <w:rFonts w:eastAsia="SimSun"/>
      <w:sz w:val="24"/>
      <w:szCs w:val="24"/>
      <w:lang w:eastAsia="zh-CN"/>
    </w:rPr>
  </w:style>
  <w:style w:type="paragraph" w:styleId="ae">
    <w:name w:val="No Spacing"/>
    <w:uiPriority w:val="1"/>
    <w:qFormat/>
    <w:rsid w:val="00FF4981"/>
    <w:rPr>
      <w:rFonts w:eastAsia="SimSun"/>
      <w:sz w:val="24"/>
      <w:szCs w:val="24"/>
      <w:lang w:eastAsia="zh-CN"/>
    </w:rPr>
  </w:style>
  <w:style w:type="character" w:customStyle="1" w:styleId="ad">
    <w:name w:val="Нижний колонтитул Знак"/>
    <w:basedOn w:val="a0"/>
    <w:link w:val="ac"/>
    <w:uiPriority w:val="99"/>
    <w:rsid w:val="00FF4981"/>
    <w:rPr>
      <w:rFonts w:eastAsia="SimSun"/>
      <w:sz w:val="24"/>
      <w:szCs w:val="24"/>
      <w:lang w:eastAsia="zh-CN"/>
    </w:rPr>
  </w:style>
  <w:style w:type="paragraph" w:styleId="af">
    <w:name w:val="List Paragraph"/>
    <w:basedOn w:val="a"/>
    <w:uiPriority w:val="34"/>
    <w:qFormat/>
    <w:rsid w:val="00FF4981"/>
    <w:pPr>
      <w:ind w:left="720"/>
      <w:contextualSpacing/>
    </w:pPr>
  </w:style>
  <w:style w:type="paragraph" w:styleId="af0">
    <w:name w:val="Revision"/>
    <w:hidden/>
    <w:uiPriority w:val="99"/>
    <w:semiHidden/>
    <w:rsid w:val="00FF4981"/>
    <w:rPr>
      <w:rFonts w:eastAsia="SimSun"/>
      <w:sz w:val="24"/>
      <w:szCs w:val="24"/>
      <w:lang w:eastAsia="zh-CN"/>
    </w:rPr>
  </w:style>
  <w:style w:type="paragraph" w:styleId="af1">
    <w:name w:val="Normal (Web)"/>
    <w:basedOn w:val="a"/>
    <w:uiPriority w:val="99"/>
    <w:semiHidden/>
    <w:unhideWhenUsed/>
    <w:rsid w:val="00FF4981"/>
    <w:pPr>
      <w:spacing w:before="100" w:beforeAutospacing="1" w:after="100" w:afterAutospacing="1"/>
    </w:pPr>
    <w:rPr>
      <w:rFonts w:eastAsia="Times New Roman"/>
      <w:lang w:val="fr-CH" w:eastAsia="fr-CH"/>
    </w:rPr>
  </w:style>
  <w:style w:type="paragraph" w:customStyle="1" w:styleId="Default">
    <w:name w:val="Default"/>
    <w:rsid w:val="006934CC"/>
    <w:pPr>
      <w:autoSpaceDE w:val="0"/>
      <w:autoSpaceDN w:val="0"/>
      <w:adjustRightInd w:val="0"/>
    </w:pPr>
    <w:rPr>
      <w:rFonts w:ascii="Arial" w:hAnsi="Arial" w:cs="Arial"/>
      <w:color w:val="000000"/>
      <w:sz w:val="24"/>
      <w:szCs w:val="24"/>
    </w:rPr>
  </w:style>
  <w:style w:type="paragraph" w:styleId="af2">
    <w:name w:val="footnote text"/>
    <w:basedOn w:val="a"/>
    <w:link w:val="af3"/>
    <w:uiPriority w:val="99"/>
    <w:semiHidden/>
    <w:unhideWhenUsed/>
    <w:rsid w:val="00FF4981"/>
    <w:rPr>
      <w:sz w:val="20"/>
      <w:szCs w:val="20"/>
    </w:rPr>
  </w:style>
  <w:style w:type="character" w:customStyle="1" w:styleId="af3">
    <w:name w:val="Текст сноски Знак"/>
    <w:basedOn w:val="a0"/>
    <w:link w:val="af2"/>
    <w:uiPriority w:val="99"/>
    <w:semiHidden/>
    <w:rsid w:val="00FF4981"/>
    <w:rPr>
      <w:rFonts w:eastAsia="SimSun"/>
      <w:lang w:eastAsia="zh-CN"/>
    </w:rPr>
  </w:style>
  <w:style w:type="character" w:styleId="af4">
    <w:name w:val="footnote reference"/>
    <w:aliases w:val="BVI fnr Char Char,BVI fnr Car Car Char Char,BVI fnr Car Char Char,BVI fnr Car Car Car Car Char Char,BVI fnr Tegn Tegn Tegn Char Tegn Char Char Char,footnote number Char,BVI fnr,BVI fnr Car Car,BVI fnr Car,BVI fnr Car Ca"/>
    <w:basedOn w:val="a0"/>
    <w:uiPriority w:val="99"/>
    <w:semiHidden/>
    <w:unhideWhenUsed/>
    <w:rsid w:val="00FF4981"/>
    <w:rPr>
      <w:vertAlign w:val="superscript"/>
    </w:rPr>
  </w:style>
  <w:style w:type="character" w:customStyle="1" w:styleId="Mention1">
    <w:name w:val="Mention1"/>
    <w:basedOn w:val="a0"/>
    <w:uiPriority w:val="99"/>
    <w:semiHidden/>
    <w:unhideWhenUsed/>
    <w:rsid w:val="002925B1"/>
    <w:rPr>
      <w:color w:val="2B579A"/>
      <w:shd w:val="clear" w:color="auto" w:fill="E6E6E6"/>
    </w:rPr>
  </w:style>
  <w:style w:type="character" w:styleId="af5">
    <w:name w:val="Placeholder Text"/>
    <w:basedOn w:val="a0"/>
    <w:uiPriority w:val="99"/>
    <w:semiHidden/>
    <w:rsid w:val="002925B1"/>
    <w:rPr>
      <w:color w:val="808080"/>
    </w:rPr>
  </w:style>
  <w:style w:type="paragraph" w:customStyle="1" w:styleId="Pa10">
    <w:name w:val="Pa10"/>
    <w:basedOn w:val="Default"/>
    <w:next w:val="Default"/>
    <w:uiPriority w:val="99"/>
    <w:rsid w:val="009237B1"/>
    <w:pPr>
      <w:spacing w:line="181" w:lineRule="atLeast"/>
    </w:pPr>
    <w:rPr>
      <w:rFonts w:ascii="Caecilia LT Std Light" w:hAnsi="Caecilia LT Std Light" w:cs="Times New Roman"/>
      <w:color w:val="auto"/>
    </w:rPr>
  </w:style>
  <w:style w:type="character" w:customStyle="1" w:styleId="A80">
    <w:name w:val="A8"/>
    <w:uiPriority w:val="99"/>
    <w:rsid w:val="009237B1"/>
    <w:rPr>
      <w:rFonts w:ascii="Caecilia LT Std Roman" w:hAnsi="Caecilia LT Std Roman" w:cs="Caecilia LT Std Roman"/>
      <w:color w:val="000000"/>
      <w:sz w:val="18"/>
      <w:szCs w:val="18"/>
    </w:rPr>
  </w:style>
  <w:style w:type="character" w:customStyle="1" w:styleId="a7">
    <w:name w:val="Текст комментария Знак"/>
    <w:basedOn w:val="a0"/>
    <w:link w:val="a6"/>
    <w:rsid w:val="000E35C3"/>
    <w:rPr>
      <w:rFonts w:eastAsia="SimSun"/>
      <w:lang w:eastAsia="zh-CN"/>
    </w:rPr>
  </w:style>
  <w:style w:type="character" w:customStyle="1" w:styleId="20">
    <w:name w:val="Заголовок 2 Знак"/>
    <w:basedOn w:val="a0"/>
    <w:link w:val="2"/>
    <w:uiPriority w:val="9"/>
    <w:rsid w:val="006766F7"/>
    <w:rPr>
      <w:rFonts w:asciiTheme="majorHAnsi" w:eastAsiaTheme="majorEastAsia" w:hAnsiTheme="majorHAnsi" w:cstheme="majorBidi"/>
      <w:color w:val="365F91" w:themeColor="accent1" w:themeShade="BF"/>
      <w:sz w:val="26"/>
      <w:szCs w:val="26"/>
      <w:lang w:val="fr-CH" w:eastAsia="en-US"/>
    </w:rPr>
  </w:style>
  <w:style w:type="paragraph" w:customStyle="1" w:styleId="ColorfulList-Accent12">
    <w:name w:val="Colorful List - Accent 12"/>
    <w:basedOn w:val="a"/>
    <w:uiPriority w:val="34"/>
    <w:qFormat/>
    <w:rsid w:val="00F4326B"/>
    <w:pPr>
      <w:ind w:left="720"/>
      <w:contextualSpacing/>
    </w:pPr>
    <w:rPr>
      <w:rFonts w:eastAsia="MS Mincho"/>
      <w:lang w:eastAsia="en-GB"/>
    </w:rPr>
  </w:style>
  <w:style w:type="paragraph" w:customStyle="1" w:styleId="ColorfulList-Accent13">
    <w:name w:val="Colorful List - Accent 13"/>
    <w:basedOn w:val="a"/>
    <w:uiPriority w:val="34"/>
    <w:qFormat/>
    <w:rsid w:val="00391CC4"/>
    <w:pPr>
      <w:ind w:left="720"/>
      <w:contextualSpacing/>
    </w:pPr>
    <w:rPr>
      <w:rFonts w:eastAsia="MS Mincho"/>
      <w:lang w:eastAsia="en-GB"/>
    </w:rPr>
  </w:style>
  <w:style w:type="table" w:customStyle="1" w:styleId="GridTable41">
    <w:name w:val="Grid Table 41"/>
    <w:basedOn w:val="a1"/>
    <w:next w:val="GridTable4"/>
    <w:uiPriority w:val="49"/>
    <w:rsid w:val="00A46B55"/>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
    <w:name w:val="Grid Table 4"/>
    <w:basedOn w:val="a1"/>
    <w:uiPriority w:val="49"/>
    <w:rsid w:val="00A46B5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DLanguagecode">
    <w:name w:val="CoD Language code"/>
    <w:basedOn w:val="a"/>
    <w:link w:val="CoDLanguagecodeChar"/>
    <w:autoRedefine/>
    <w:qFormat/>
    <w:rsid w:val="001104CB"/>
    <w:pPr>
      <w:framePr w:hSpace="141" w:wrap="around" w:vAnchor="text" w:hAnchor="page" w:x="8510" w:yAlign="center"/>
      <w:jc w:val="right"/>
    </w:pPr>
    <w:rPr>
      <w:rFonts w:ascii="Arial" w:hAnsi="Arial" w:cs="Arial"/>
      <w:b/>
      <w:sz w:val="72"/>
      <w:szCs w:val="72"/>
    </w:rPr>
  </w:style>
  <w:style w:type="character" w:customStyle="1" w:styleId="CoDLanguagecodeChar">
    <w:name w:val="CoD Language code Char"/>
    <w:basedOn w:val="a0"/>
    <w:link w:val="CoDLanguagecode"/>
    <w:rsid w:val="001104CB"/>
    <w:rPr>
      <w:rFonts w:ascii="Arial" w:eastAsia="SimSun" w:hAnsi="Arial" w:cs="Arial"/>
      <w:b/>
      <w:sz w:val="72"/>
      <w:szCs w:val="72"/>
      <w:lang w:eastAsia="zh-CN"/>
    </w:rPr>
  </w:style>
  <w:style w:type="paragraph" w:customStyle="1" w:styleId="CoDTitle">
    <w:name w:val="CoD Title"/>
    <w:basedOn w:val="a"/>
    <w:qFormat/>
    <w:rsid w:val="00FF4981"/>
    <w:pPr>
      <w:jc w:val="center"/>
    </w:pPr>
    <w:rPr>
      <w:rFonts w:ascii="Arial" w:hAnsi="Arial"/>
      <w:b/>
      <w:caps/>
      <w:sz w:val="28"/>
    </w:rPr>
  </w:style>
  <w:style w:type="paragraph" w:customStyle="1" w:styleId="CoDReportPlaceDate">
    <w:name w:val="CoD Report Place &amp; Date"/>
    <w:basedOn w:val="a"/>
    <w:qFormat/>
    <w:rsid w:val="00FF4981"/>
    <w:pPr>
      <w:jc w:val="center"/>
    </w:pPr>
    <w:rPr>
      <w:rFonts w:ascii="Arial" w:hAnsi="Arial"/>
      <w:sz w:val="22"/>
    </w:rPr>
  </w:style>
  <w:style w:type="paragraph" w:customStyle="1" w:styleId="CoDReportTitle">
    <w:name w:val="CoD Report Title"/>
    <w:basedOn w:val="a"/>
    <w:link w:val="CoDReportTitleChar"/>
    <w:qFormat/>
    <w:rsid w:val="00FF4981"/>
    <w:pPr>
      <w:jc w:val="center"/>
    </w:pPr>
    <w:rPr>
      <w:rFonts w:ascii="Arial" w:hAnsi="Arial" w:cs="Arial"/>
      <w:b/>
      <w:bCs/>
      <w:sz w:val="28"/>
    </w:rPr>
  </w:style>
  <w:style w:type="paragraph" w:customStyle="1" w:styleId="CoDPreparedby">
    <w:name w:val="CoD Prepared by"/>
    <w:basedOn w:val="a"/>
    <w:qFormat/>
    <w:rsid w:val="00FF4981"/>
    <w:pPr>
      <w:jc w:val="center"/>
    </w:pPr>
    <w:rPr>
      <w:rFonts w:ascii="Arial" w:hAnsi="Arial"/>
      <w:b/>
      <w:sz w:val="22"/>
    </w:rPr>
  </w:style>
  <w:style w:type="paragraph" w:customStyle="1" w:styleId="CoDConferencePlaceDate">
    <w:name w:val="CoD Conference Place &amp; Date"/>
    <w:basedOn w:val="CoDReportPlaceDate"/>
    <w:qFormat/>
    <w:rsid w:val="00FF4981"/>
    <w:rPr>
      <w:sz w:val="24"/>
    </w:rPr>
  </w:style>
  <w:style w:type="paragraph" w:customStyle="1" w:styleId="CoDDocNo">
    <w:name w:val="CoD Doc No."/>
    <w:basedOn w:val="a"/>
    <w:qFormat/>
    <w:rsid w:val="00FF4981"/>
    <w:pPr>
      <w:framePr w:hSpace="141" w:wrap="around" w:vAnchor="text" w:hAnchor="page" w:x="8510" w:yAlign="center"/>
      <w:jc w:val="right"/>
    </w:pPr>
    <w:rPr>
      <w:rFonts w:ascii="Arial" w:hAnsi="Arial"/>
      <w:b/>
    </w:rPr>
  </w:style>
  <w:style w:type="paragraph" w:customStyle="1" w:styleId="CoDLanguage">
    <w:name w:val="CoD Language"/>
    <w:basedOn w:val="a"/>
    <w:qFormat/>
    <w:rsid w:val="00FF4981"/>
    <w:pPr>
      <w:framePr w:hSpace="141" w:wrap="around" w:vAnchor="text" w:hAnchor="page" w:x="8510" w:yAlign="center"/>
      <w:jc w:val="right"/>
    </w:pPr>
    <w:rPr>
      <w:rFonts w:ascii="Arial" w:hAnsi="Arial"/>
      <w:b/>
    </w:rPr>
  </w:style>
  <w:style w:type="paragraph" w:customStyle="1" w:styleId="CoDHeading1">
    <w:name w:val="CoD Heading 1"/>
    <w:basedOn w:val="3"/>
    <w:qFormat/>
    <w:rsid w:val="00FF4981"/>
    <w:pPr>
      <w:spacing w:before="360"/>
      <w:jc w:val="both"/>
    </w:pPr>
    <w:rPr>
      <w:rFonts w:ascii="Arial" w:hAnsi="Arial" w:cstheme="minorBidi"/>
      <w:caps/>
      <w:color w:val="auto"/>
      <w:szCs w:val="22"/>
    </w:rPr>
  </w:style>
  <w:style w:type="paragraph" w:customStyle="1" w:styleId="CoDNormal">
    <w:name w:val="CoD Normal"/>
    <w:basedOn w:val="a"/>
    <w:qFormat/>
    <w:rsid w:val="00FF4981"/>
    <w:pPr>
      <w:spacing w:before="240"/>
      <w:jc w:val="both"/>
    </w:pPr>
    <w:rPr>
      <w:rFonts w:ascii="Arial" w:hAnsi="Arial" w:cstheme="minorBidi"/>
      <w:sz w:val="22"/>
      <w:szCs w:val="22"/>
    </w:rPr>
  </w:style>
  <w:style w:type="paragraph" w:customStyle="1" w:styleId="CoDBullet">
    <w:name w:val="CoD Bullet"/>
    <w:basedOn w:val="af"/>
    <w:qFormat/>
    <w:rsid w:val="00FF4981"/>
    <w:pPr>
      <w:numPr>
        <w:numId w:val="22"/>
      </w:numPr>
      <w:spacing w:before="240"/>
      <w:jc w:val="both"/>
    </w:pPr>
    <w:rPr>
      <w:rFonts w:ascii="Arial" w:hAnsi="Arial" w:cstheme="minorBidi"/>
      <w:sz w:val="22"/>
      <w:szCs w:val="22"/>
    </w:rPr>
  </w:style>
  <w:style w:type="paragraph" w:customStyle="1" w:styleId="CoDHeading2">
    <w:name w:val="CoD Heading 2"/>
    <w:basedOn w:val="CoDNormal"/>
    <w:qFormat/>
    <w:rsid w:val="00FF4981"/>
    <w:pPr>
      <w:keepNext/>
      <w:keepLines/>
      <w:spacing w:before="360"/>
    </w:pPr>
    <w:rPr>
      <w:b/>
      <w:caps/>
    </w:rPr>
  </w:style>
  <w:style w:type="paragraph" w:customStyle="1" w:styleId="CoDHeading3">
    <w:name w:val="CoD Heading 3"/>
    <w:basedOn w:val="CoDNormal"/>
    <w:qFormat/>
    <w:rsid w:val="00FF4981"/>
    <w:pPr>
      <w:keepNext/>
      <w:keepLines/>
      <w:spacing w:before="360"/>
    </w:pPr>
    <w:rPr>
      <w:b/>
    </w:rPr>
  </w:style>
  <w:style w:type="paragraph" w:customStyle="1" w:styleId="CoDHeading4">
    <w:name w:val="CoD Heading 4"/>
    <w:basedOn w:val="CoDNormal"/>
    <w:qFormat/>
    <w:rsid w:val="00FF4981"/>
    <w:pPr>
      <w:keepNext/>
      <w:keepLines/>
    </w:pPr>
    <w:rPr>
      <w:i/>
    </w:rPr>
  </w:style>
  <w:style w:type="paragraph" w:customStyle="1" w:styleId="CoDFootnote">
    <w:name w:val="CoD Footnote"/>
    <w:basedOn w:val="af2"/>
    <w:qFormat/>
    <w:rsid w:val="00FF4981"/>
    <w:rPr>
      <w:rFonts w:ascii="Arial" w:hAnsi="Arial" w:cs="Arial"/>
      <w:sz w:val="18"/>
      <w:szCs w:val="18"/>
    </w:rPr>
  </w:style>
  <w:style w:type="paragraph" w:customStyle="1" w:styleId="CoDlanguagecode0">
    <w:name w:val="CoD language code"/>
    <w:basedOn w:val="a"/>
    <w:link w:val="CoDlanguagecodeChar0"/>
    <w:autoRedefine/>
    <w:qFormat/>
    <w:rsid w:val="00FF4981"/>
    <w:pPr>
      <w:framePr w:hSpace="141" w:wrap="around" w:vAnchor="text" w:hAnchor="page" w:x="8510" w:yAlign="center"/>
      <w:jc w:val="right"/>
    </w:pPr>
    <w:rPr>
      <w:rFonts w:ascii="Arial" w:hAnsi="Arial" w:cs="Arial"/>
      <w:b/>
      <w:sz w:val="72"/>
      <w:szCs w:val="72"/>
    </w:rPr>
  </w:style>
  <w:style w:type="character" w:customStyle="1" w:styleId="CoDlanguagecodeChar0">
    <w:name w:val="CoD language code Char"/>
    <w:basedOn w:val="a0"/>
    <w:link w:val="CoDlanguagecode0"/>
    <w:rsid w:val="00FF4981"/>
    <w:rPr>
      <w:rFonts w:ascii="Arial" w:eastAsia="SimSun" w:hAnsi="Arial" w:cs="Arial"/>
      <w:b/>
      <w:sz w:val="72"/>
      <w:szCs w:val="72"/>
      <w:lang w:eastAsia="zh-CN"/>
    </w:rPr>
  </w:style>
  <w:style w:type="paragraph" w:customStyle="1" w:styleId="CoDtypeofreport">
    <w:name w:val="CoD type of report"/>
    <w:basedOn w:val="CoDReportTitle"/>
    <w:link w:val="CoDtypeofreportChar"/>
    <w:qFormat/>
    <w:rsid w:val="00FF4981"/>
    <w:rPr>
      <w:caps/>
      <w:sz w:val="24"/>
    </w:rPr>
  </w:style>
  <w:style w:type="character" w:customStyle="1" w:styleId="CoDReportTitleChar">
    <w:name w:val="CoD Report Title Char"/>
    <w:basedOn w:val="a0"/>
    <w:link w:val="CoDReportTitle"/>
    <w:rsid w:val="00FF4981"/>
    <w:rPr>
      <w:rFonts w:ascii="Arial" w:eastAsia="SimSun" w:hAnsi="Arial" w:cs="Arial"/>
      <w:b/>
      <w:bCs/>
      <w:sz w:val="28"/>
      <w:szCs w:val="24"/>
      <w:lang w:eastAsia="zh-CN"/>
    </w:rPr>
  </w:style>
  <w:style w:type="character" w:customStyle="1" w:styleId="CoDtypeofreportChar">
    <w:name w:val="CoD type of report Char"/>
    <w:basedOn w:val="CoDReportTitleChar"/>
    <w:link w:val="CoDtypeofreport"/>
    <w:rsid w:val="00FF4981"/>
    <w:rPr>
      <w:rFonts w:ascii="Arial" w:eastAsia="SimSun" w:hAnsi="Arial" w:cs="Arial"/>
      <w:b/>
      <w:bCs/>
      <w:caps/>
      <w:sz w:val="24"/>
      <w:szCs w:val="24"/>
      <w:lang w:eastAsia="zh-CN"/>
    </w:rPr>
  </w:style>
  <w:style w:type="paragraph" w:styleId="af6">
    <w:name w:val="Date"/>
    <w:basedOn w:val="a"/>
    <w:next w:val="a"/>
    <w:link w:val="af7"/>
    <w:uiPriority w:val="99"/>
    <w:semiHidden/>
    <w:unhideWhenUsed/>
    <w:rsid w:val="007C771A"/>
  </w:style>
  <w:style w:type="character" w:customStyle="1" w:styleId="af7">
    <w:name w:val="Дата Знак"/>
    <w:basedOn w:val="a0"/>
    <w:link w:val="af6"/>
    <w:uiPriority w:val="99"/>
    <w:semiHidden/>
    <w:rsid w:val="007C771A"/>
    <w:rPr>
      <w:rFonts w:eastAsia="SimSun"/>
      <w:sz w:val="24"/>
      <w:szCs w:val="24"/>
      <w:lang w:eastAsia="zh-CN"/>
    </w:rPr>
  </w:style>
  <w:style w:type="character" w:styleId="af8">
    <w:name w:val="FollowedHyperlink"/>
    <w:basedOn w:val="a0"/>
    <w:uiPriority w:val="99"/>
    <w:semiHidden/>
    <w:unhideWhenUsed/>
    <w:rsid w:val="00D55F3A"/>
    <w:rPr>
      <w:color w:val="800080" w:themeColor="followedHyperlink"/>
      <w:u w:val="single"/>
    </w:rPr>
  </w:style>
  <w:style w:type="table" w:styleId="af9">
    <w:name w:val="Table Grid"/>
    <w:basedOn w:val="a1"/>
    <w:uiPriority w:val="59"/>
    <w:rsid w:val="004C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2567">
      <w:bodyDiv w:val="1"/>
      <w:marLeft w:val="0"/>
      <w:marRight w:val="0"/>
      <w:marTop w:val="0"/>
      <w:marBottom w:val="0"/>
      <w:divBdr>
        <w:top w:val="none" w:sz="0" w:space="0" w:color="auto"/>
        <w:left w:val="none" w:sz="0" w:space="0" w:color="auto"/>
        <w:bottom w:val="none" w:sz="0" w:space="0" w:color="auto"/>
        <w:right w:val="none" w:sz="0" w:space="0" w:color="auto"/>
      </w:divBdr>
      <w:divsChild>
        <w:div w:id="421923639">
          <w:marLeft w:val="547"/>
          <w:marRight w:val="0"/>
          <w:marTop w:val="96"/>
          <w:marBottom w:val="0"/>
          <w:divBdr>
            <w:top w:val="none" w:sz="0" w:space="0" w:color="auto"/>
            <w:left w:val="none" w:sz="0" w:space="0" w:color="auto"/>
            <w:bottom w:val="none" w:sz="0" w:space="0" w:color="auto"/>
            <w:right w:val="none" w:sz="0" w:space="0" w:color="auto"/>
          </w:divBdr>
        </w:div>
        <w:div w:id="844563378">
          <w:marLeft w:val="547"/>
          <w:marRight w:val="0"/>
          <w:marTop w:val="96"/>
          <w:marBottom w:val="0"/>
          <w:divBdr>
            <w:top w:val="none" w:sz="0" w:space="0" w:color="auto"/>
            <w:left w:val="none" w:sz="0" w:space="0" w:color="auto"/>
            <w:bottom w:val="none" w:sz="0" w:space="0" w:color="auto"/>
            <w:right w:val="none" w:sz="0" w:space="0" w:color="auto"/>
          </w:divBdr>
        </w:div>
        <w:div w:id="74325306">
          <w:marLeft w:val="1166"/>
          <w:marRight w:val="0"/>
          <w:marTop w:val="96"/>
          <w:marBottom w:val="0"/>
          <w:divBdr>
            <w:top w:val="none" w:sz="0" w:space="0" w:color="auto"/>
            <w:left w:val="none" w:sz="0" w:space="0" w:color="auto"/>
            <w:bottom w:val="none" w:sz="0" w:space="0" w:color="auto"/>
            <w:right w:val="none" w:sz="0" w:space="0" w:color="auto"/>
          </w:divBdr>
        </w:div>
        <w:div w:id="1733311980">
          <w:marLeft w:val="1166"/>
          <w:marRight w:val="0"/>
          <w:marTop w:val="96"/>
          <w:marBottom w:val="0"/>
          <w:divBdr>
            <w:top w:val="none" w:sz="0" w:space="0" w:color="auto"/>
            <w:left w:val="none" w:sz="0" w:space="0" w:color="auto"/>
            <w:bottom w:val="none" w:sz="0" w:space="0" w:color="auto"/>
            <w:right w:val="none" w:sz="0" w:space="0" w:color="auto"/>
          </w:divBdr>
        </w:div>
        <w:div w:id="723332252">
          <w:marLeft w:val="1166"/>
          <w:marRight w:val="0"/>
          <w:marTop w:val="96"/>
          <w:marBottom w:val="0"/>
          <w:divBdr>
            <w:top w:val="none" w:sz="0" w:space="0" w:color="auto"/>
            <w:left w:val="none" w:sz="0" w:space="0" w:color="auto"/>
            <w:bottom w:val="none" w:sz="0" w:space="0" w:color="auto"/>
            <w:right w:val="none" w:sz="0" w:space="0" w:color="auto"/>
          </w:divBdr>
        </w:div>
        <w:div w:id="733502017">
          <w:marLeft w:val="1166"/>
          <w:marRight w:val="0"/>
          <w:marTop w:val="96"/>
          <w:marBottom w:val="0"/>
          <w:divBdr>
            <w:top w:val="none" w:sz="0" w:space="0" w:color="auto"/>
            <w:left w:val="none" w:sz="0" w:space="0" w:color="auto"/>
            <w:bottom w:val="none" w:sz="0" w:space="0" w:color="auto"/>
            <w:right w:val="none" w:sz="0" w:space="0" w:color="auto"/>
          </w:divBdr>
        </w:div>
        <w:div w:id="679890179">
          <w:marLeft w:val="1166"/>
          <w:marRight w:val="0"/>
          <w:marTop w:val="96"/>
          <w:marBottom w:val="0"/>
          <w:divBdr>
            <w:top w:val="none" w:sz="0" w:space="0" w:color="auto"/>
            <w:left w:val="none" w:sz="0" w:space="0" w:color="auto"/>
            <w:bottom w:val="none" w:sz="0" w:space="0" w:color="auto"/>
            <w:right w:val="none" w:sz="0" w:space="0" w:color="auto"/>
          </w:divBdr>
        </w:div>
      </w:divsChild>
    </w:div>
    <w:div w:id="302151852">
      <w:bodyDiv w:val="1"/>
      <w:marLeft w:val="0"/>
      <w:marRight w:val="0"/>
      <w:marTop w:val="0"/>
      <w:marBottom w:val="0"/>
      <w:divBdr>
        <w:top w:val="none" w:sz="0" w:space="0" w:color="auto"/>
        <w:left w:val="none" w:sz="0" w:space="0" w:color="auto"/>
        <w:bottom w:val="none" w:sz="0" w:space="0" w:color="auto"/>
        <w:right w:val="none" w:sz="0" w:space="0" w:color="auto"/>
      </w:divBdr>
    </w:div>
    <w:div w:id="541093752">
      <w:bodyDiv w:val="1"/>
      <w:marLeft w:val="0"/>
      <w:marRight w:val="0"/>
      <w:marTop w:val="0"/>
      <w:marBottom w:val="0"/>
      <w:divBdr>
        <w:top w:val="none" w:sz="0" w:space="0" w:color="auto"/>
        <w:left w:val="none" w:sz="0" w:space="0" w:color="auto"/>
        <w:bottom w:val="none" w:sz="0" w:space="0" w:color="auto"/>
        <w:right w:val="none" w:sz="0" w:space="0" w:color="auto"/>
      </w:divBdr>
    </w:div>
    <w:div w:id="1095251837">
      <w:bodyDiv w:val="1"/>
      <w:marLeft w:val="0"/>
      <w:marRight w:val="0"/>
      <w:marTop w:val="0"/>
      <w:marBottom w:val="0"/>
      <w:divBdr>
        <w:top w:val="none" w:sz="0" w:space="0" w:color="auto"/>
        <w:left w:val="none" w:sz="0" w:space="0" w:color="auto"/>
        <w:bottom w:val="none" w:sz="0" w:space="0" w:color="auto"/>
        <w:right w:val="none" w:sz="0" w:space="0" w:color="auto"/>
      </w:divBdr>
    </w:div>
    <w:div w:id="1111588767">
      <w:bodyDiv w:val="1"/>
      <w:marLeft w:val="0"/>
      <w:marRight w:val="0"/>
      <w:marTop w:val="0"/>
      <w:marBottom w:val="0"/>
      <w:divBdr>
        <w:top w:val="none" w:sz="0" w:space="0" w:color="auto"/>
        <w:left w:val="none" w:sz="0" w:space="0" w:color="auto"/>
        <w:bottom w:val="none" w:sz="0" w:space="0" w:color="auto"/>
        <w:right w:val="none" w:sz="0" w:space="0" w:color="auto"/>
      </w:divBdr>
    </w:div>
    <w:div w:id="1174809098">
      <w:bodyDiv w:val="1"/>
      <w:marLeft w:val="0"/>
      <w:marRight w:val="0"/>
      <w:marTop w:val="0"/>
      <w:marBottom w:val="0"/>
      <w:divBdr>
        <w:top w:val="none" w:sz="0" w:space="0" w:color="auto"/>
        <w:left w:val="none" w:sz="0" w:space="0" w:color="auto"/>
        <w:bottom w:val="none" w:sz="0" w:space="0" w:color="auto"/>
        <w:right w:val="none" w:sz="0" w:space="0" w:color="auto"/>
      </w:divBdr>
    </w:div>
    <w:div w:id="1687755792">
      <w:bodyDiv w:val="1"/>
      <w:marLeft w:val="0"/>
      <w:marRight w:val="0"/>
      <w:marTop w:val="0"/>
      <w:marBottom w:val="0"/>
      <w:divBdr>
        <w:top w:val="none" w:sz="0" w:space="0" w:color="auto"/>
        <w:left w:val="none" w:sz="0" w:space="0" w:color="auto"/>
        <w:bottom w:val="none" w:sz="0" w:space="0" w:color="auto"/>
        <w:right w:val="none" w:sz="0" w:space="0" w:color="auto"/>
      </w:divBdr>
    </w:div>
    <w:div w:id="1901936032">
      <w:bodyDiv w:val="1"/>
      <w:marLeft w:val="0"/>
      <w:marRight w:val="0"/>
      <w:marTop w:val="0"/>
      <w:marBottom w:val="0"/>
      <w:divBdr>
        <w:top w:val="none" w:sz="0" w:space="0" w:color="auto"/>
        <w:left w:val="none" w:sz="0" w:space="0" w:color="auto"/>
        <w:bottom w:val="none" w:sz="0" w:space="0" w:color="auto"/>
        <w:right w:val="none" w:sz="0" w:space="0" w:color="auto"/>
      </w:divBdr>
    </w:div>
    <w:div w:id="2080859084">
      <w:bodyDiv w:val="1"/>
      <w:marLeft w:val="0"/>
      <w:marRight w:val="0"/>
      <w:marTop w:val="0"/>
      <w:marBottom w:val="0"/>
      <w:divBdr>
        <w:top w:val="none" w:sz="0" w:space="0" w:color="auto"/>
        <w:left w:val="none" w:sz="0" w:space="0" w:color="auto"/>
        <w:bottom w:val="none" w:sz="0" w:space="0" w:color="auto"/>
        <w:right w:val="none" w:sz="0" w:space="0" w:color="auto"/>
      </w:divBdr>
    </w:div>
    <w:div w:id="2084255003">
      <w:bodyDiv w:val="1"/>
      <w:marLeft w:val="0"/>
      <w:marRight w:val="0"/>
      <w:marTop w:val="0"/>
      <w:marBottom w:val="0"/>
      <w:divBdr>
        <w:top w:val="none" w:sz="0" w:space="0" w:color="auto"/>
        <w:left w:val="none" w:sz="0" w:space="0" w:color="auto"/>
        <w:bottom w:val="none" w:sz="0" w:space="0" w:color="auto"/>
        <w:right w:val="none" w:sz="0" w:space="0" w:color="auto"/>
      </w:divBdr>
    </w:div>
    <w:div w:id="20912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chart" Target="charts/chart3.xml"/><Relationship Id="rId23" Type="http://schemas.openxmlformats.org/officeDocument/2006/relationships/header" Target="header4.xml"/><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chart" Target="charts/chart1.xml"/><Relationship Id="rId18" Type="http://schemas.openxmlformats.org/officeDocument/2006/relationships/chart" Target="charts/chart2.xml"/><Relationship Id="rId1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Travail\Documents%202017\English\CoD%202017\templates\CoD%202017%20template%20for%20report_with%20logo_with%20styles_26.07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146607\AppData\Local\Temp\notes92297F\RM_survey_data_master_graphs-FINAL-FINAL_CORRECTED.XLS"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sharonmcclenaghan:Downloads:RM_survey_data_master_21_05_2017-graphs-FINAL-FINAL-May23-4.xls"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Macintosh%20HD:Users:sharonmcclenaghan:Downloads:RM_survey_data_master_21_05_2017-graphs-FINAL-FINAL-May23-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'Graph 2'!$O$29</c:f>
          <c:strCache>
            <c:ptCount val="1"/>
            <c:pt idx="0">
              <c:v>Q2. The Movement components have committed to developing Movement-wide principles for resource mobilization with a view to maximizing fundraising potential. To what extent do you agree or disagree with these themes?</c:v>
            </c:pt>
          </c:strCache>
        </c:strRef>
      </c:tx>
      <c:layout/>
      <c:overlay val="0"/>
      <c:txPr>
        <a:bodyPr/>
        <a:lstStyle/>
        <a:p>
          <a:pPr>
            <a:defRPr sz="900" b="1" i="1" u="none" strike="noStrike" baseline="0">
              <a:solidFill>
                <a:srgbClr val="000000"/>
              </a:solidFill>
              <a:latin typeface="Calibri"/>
              <a:ea typeface="Calibri"/>
              <a:cs typeface="Calibri"/>
            </a:defRPr>
          </a:pPr>
          <a:endParaRPr lang="ru-RU"/>
        </a:p>
      </c:txPr>
    </c:title>
    <c:autoTitleDeleted val="0"/>
    <c:plotArea>
      <c:layout>
        <c:manualLayout>
          <c:layoutTarget val="inner"/>
          <c:xMode val="edge"/>
          <c:yMode val="edge"/>
          <c:x val="0.416006836354758"/>
          <c:y val="0.155604703823787"/>
          <c:w val="0.545784722646103"/>
          <c:h val="0.683824816015645"/>
        </c:manualLayout>
      </c:layout>
      <c:barChart>
        <c:barDir val="bar"/>
        <c:grouping val="percentStacked"/>
        <c:varyColors val="0"/>
        <c:ser>
          <c:idx val="4"/>
          <c:order val="0"/>
          <c:tx>
            <c:strRef>
              <c:f>'Graph 2'!$P$27</c:f>
              <c:strCache>
                <c:ptCount val="1"/>
                <c:pt idx="0">
                  <c:v>Strongly agree</c:v>
                </c:pt>
              </c:strCache>
            </c:strRef>
          </c:tx>
          <c:spPr>
            <a:solidFill>
              <a:schemeClr val="accent1">
                <a:lumMod val="40000"/>
                <a:lumOff val="60000"/>
              </a:schemeClr>
            </a:solidFill>
          </c:spPr>
          <c:invertIfNegative val="0"/>
          <c:dLbls>
            <c:dLbl>
              <c:idx val="0"/>
              <c:layout/>
              <c:tx>
                <c:strRef>
                  <c:f>'Graph 2'!$Q$35</c:f>
                  <c:strCache>
                    <c:ptCount val="1"/>
                    <c:pt idx="0">
                      <c:v>40% (37)</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{1A91F27D-3295-499C-B894-FD61EA0193F4}</c15:txfldGUID>
                      <c15:f>'Graph 2'!$Q$35</c15:f>
                      <c15:dlblFieldTableCache>
                        <c:ptCount val="1"/>
                        <c:pt idx="0">
                          <c:v>40% (37)</c:v>
                        </c:pt>
                      </c15:dlblFieldTableCache>
                    </c15:dlblFTEntry>
                  </c15:dlblFieldTable>
                  <c15:showDataLabelsRange val="0"/>
                </c:ext>
              </c:extLst>
            </c:dLbl>
            <c:dLbl>
              <c:idx val="1"/>
              <c:layout/>
              <c:tx>
                <c:strRef>
                  <c:f>'Graph 2'!$R$35</c:f>
                  <c:strCache>
                    <c:ptCount val="1"/>
                    <c:pt idx="0">
                      <c:v>41% (38)</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{08136D49-0A6D-46CD-B6FD-66CC3654FA7C}</c15:txfldGUID>
                      <c15:f>'Graph 2'!$R$35</c15:f>
                      <c15:dlblFieldTableCache>
                        <c:ptCount val="1"/>
                        <c:pt idx="0">
                          <c:v>41% (38)</c:v>
                        </c:pt>
                      </c15:dlblFieldTableCache>
                    </c15:dlblFTEntry>
                  </c15:dlblFieldTable>
                  <c15:showDataLabelsRange val="0"/>
                </c:ext>
              </c:extLst>
            </c:dLbl>
            <c:dLbl>
              <c:idx val="2"/>
              <c:layout/>
              <c:tx>
                <c:strRef>
                  <c:f>'Graph 2'!$S$35</c:f>
                  <c:strCache>
                    <c:ptCount val="1"/>
                    <c:pt idx="0">
                      <c:v>49% (46)</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{A1CD7A10-F048-4A41-B4BF-D3D2FD740DF8}</c15:txfldGUID>
                      <c15:f>'Graph 2'!$S$35</c15:f>
                      <c15:dlblFieldTableCache>
                        <c:ptCount val="1"/>
                        <c:pt idx="0">
                          <c:v>49% (46)</c:v>
                        </c:pt>
                      </c15:dlblFieldTableCache>
                    </c15:dlblFTEntry>
                  </c15:dlblFieldTable>
                  <c15:showDataLabelsRange val="0"/>
                </c:ext>
              </c:extLst>
            </c:dLbl>
            <c:dLbl>
              <c:idx val="3"/>
              <c:layout/>
              <c:tx>
                <c:strRef>
                  <c:f>'Graph 2'!$T$35</c:f>
                  <c:strCache>
                    <c:ptCount val="1"/>
                    <c:pt idx="0">
                      <c:v>51% (47)</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{9726A593-D1CA-40D0-9AF5-263EA41A42AC}</c15:txfldGUID>
                      <c15:f>'Graph 2'!$T$35</c15:f>
                      <c15:dlblFieldTableCache>
                        <c:ptCount val="1"/>
                        <c:pt idx="0">
                          <c:v>51% (47)</c:v>
                        </c:pt>
                      </c15:dlblFieldTableCache>
                    </c15:dlblFTEntry>
                  </c15:dlblFieldTable>
                  <c15:showDataLabelsRange val="0"/>
                </c:ext>
              </c:extLst>
            </c:dLbl>
            <c:dLbl>
              <c:idx val="4"/>
              <c:layout/>
              <c:tx>
                <c:strRef>
                  <c:f>'Graph 2'!$U$35</c:f>
                  <c:strCache>
                    <c:ptCount val="1"/>
                    <c:pt idx="0">
                      <c:v>52% (48)</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{88C62177-A3E3-4D35-8008-EC7E184ED51C}</c15:txfldGUID>
                      <c15:f>'Graph 2'!$U$35</c15:f>
                      <c15:dlblFieldTableCache>
                        <c:ptCount val="1"/>
                        <c:pt idx="0">
                          <c:v>52% (48)</c:v>
                        </c:pt>
                      </c15:dlblFieldTableCache>
                    </c15:dlblFTEntry>
                  </c15:dlblFieldTable>
                  <c15:showDataLabelsRange val="0"/>
                </c:ext>
              </c:extLst>
            </c:dLbl>
            <c:dLbl>
              <c:idx val="5"/>
              <c:layout/>
              <c:tx>
                <c:strRef>
                  <c:f>'Graph 2'!$V$35</c:f>
                  <c:strCache>
                    <c:ptCount val="1"/>
                    <c:pt idx="0">
                      <c:v>55% (51)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{F258ACE7-FFA1-4583-8445-2A974C7A3AC5}</c15:txfldGUID>
                      <c15:f>'Graph 2'!$V$35</c15:f>
                      <c15:dlblFieldTableCache>
                        <c:ptCount val="1"/>
                        <c:pt idx="0">
                          <c:v>55% (51)</c:v>
                        </c:pt>
                      </c15:dlblFieldTableCache>
                    </c15:dlblFTEntry>
                  </c15:dlblFieldTable>
                  <c15:showDataLabelsRange val="0"/>
                </c:ext>
              </c:extLst>
            </c:dLbl>
            <c:dLbl>
              <c:idx val="6"/>
              <c:layout/>
              <c:tx>
                <c:strRef>
                  <c:f>'Graph 2'!$W$35</c:f>
                  <c:strCache>
                    <c:ptCount val="1"/>
                    <c:pt idx="0">
                      <c:v>55% (51)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{2E371C90-96A2-4297-9DEA-E447989955D8}</c15:txfldGUID>
                      <c15:f>'Graph 2'!$W$35</c15:f>
                      <c15:dlblFieldTableCache>
                        <c:ptCount val="1"/>
                        <c:pt idx="0">
                          <c:v>55% (51)</c:v>
                        </c:pt>
                      </c15:dlblFieldTableCache>
                    </c15:dlblFTEntry>
                  </c15:dlblFieldTable>
                  <c15:showDataLabelsRange val="0"/>
                </c:ext>
              </c:extLst>
            </c:dLbl>
            <c:dLbl>
              <c:idx val="7"/>
              <c:layout/>
              <c:tx>
                <c:strRef>
                  <c:f>'Graph 2'!$X$35</c:f>
                  <c:strCache>
                    <c:ptCount val="1"/>
                    <c:pt idx="0">
                      <c:v>56% (52)</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{51E28755-2F5A-4608-9751-F8B0378C079B}</c15:txfldGUID>
                      <c15:f>'Graph 2'!$X$35</c15:f>
                      <c15:dlblFieldTableCache>
                        <c:ptCount val="1"/>
                        <c:pt idx="0">
                          <c:v>56% (52)</c:v>
                        </c:pt>
                      </c15:dlblFieldTableCache>
                    </c15:dlblFTEntry>
                  </c15:dlblFieldTable>
                  <c15:showDataLabelsRange val="0"/>
                </c:ext>
              </c:extLst>
            </c:dLbl>
            <c:dLbl>
              <c:idx val="8"/>
              <c:layout/>
              <c:tx>
                <c:strRef>
                  <c:f>'Graph 2'!$Y$35</c:f>
                  <c:strCache>
                    <c:ptCount val="1"/>
                    <c:pt idx="0">
                      <c:v>77% (72)</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{E6A05E0E-0AFA-4E1B-98C2-3694FB101096}</c15:txfldGUID>
                      <c15:f>'Graph 2'!$Y$35</c15:f>
                      <c15:dlblFieldTableCache>
                        <c:ptCount val="1"/>
                        <c:pt idx="0">
                          <c:v>77% (72)</c:v>
                        </c:pt>
                      </c15:dlblFieldTableCache>
                    </c15:dlblFTEntry>
                  </c15:dlblFieldTable>
                  <c15:showDataLabelsRange val="0"/>
                </c:ext>
              </c:extLst>
            </c:dLbl>
            <c:dLbl>
              <c:idx val="9"/>
              <c:layout/>
              <c:tx>
                <c:strRef>
                  <c:f>'Graph 2'!$Z$35</c:f>
                  <c:strCache>
                    <c:ptCount val="1"/>
                    <c:pt idx="0">
                      <c:v>82% (76)</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{74594D7B-8DFE-482B-BDC9-E5DAAFB91F53}</c15:txfldGUID>
                      <c15:f>'Graph 2'!$Z$35</c15:f>
                      <c15:dlblFieldTableCache>
                        <c:ptCount val="1"/>
                        <c:pt idx="0">
                          <c:v>82% (76)</c:v>
                        </c:pt>
                      </c15:dlblFieldTableCache>
                    </c15:dlblFTEntry>
                  </c15:dlblFieldTable>
                  <c15:showDataLabelsRange val="0"/>
                </c:ext>
              </c:extLst>
            </c:dLbl>
            <c:spPr>
              <a:noFill/>
              <a:ln>
                <a:noFill/>
              </a:ln>
              <a:effectLst/>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 2'!$Q$22:$Z$22</c:f>
              <c:strCache>
                <c:ptCount val="10"/>
                <c:pt idx="0">
                  <c:v>Fundraise for our individual and collective mission</c:v>
                </c:pt>
                <c:pt idx="1">
                  <c:v>Maintain a funding dialogue with States</c:v>
                </c:pt>
                <c:pt idx="2">
                  <c:v>Ensure we adopt a principled approach to fundraising</c:v>
                </c:pt>
                <c:pt idx="3">
                  <c:v>Fundraise in a way that helps to position our brand</c:v>
                </c:pt>
                <c:pt idx="4">
                  <c:v>Work together in solidarity and good partnership</c:v>
                </c:pt>
                <c:pt idx="5">
                  <c:v>Maximize income</c:v>
                </c:pt>
                <c:pt idx="6">
                  <c:v>Invest in fundraising in order to grow</c:v>
                </c:pt>
                <c:pt idx="7">
                  <c:v>Fundraise in a way that is driven by need</c:v>
                </c:pt>
                <c:pt idx="8">
                  <c:v>Support National Society fundraising capacity development</c:v>
                </c:pt>
                <c:pt idx="9">
                  <c:v>Fundraise in a way that is accountable to donors and to the communities we serve</c:v>
                </c:pt>
              </c:strCache>
            </c:strRef>
          </c:cat>
          <c:val>
            <c:numRef>
              <c:f>'Graph 2'!$Q$27:$Z$27</c:f>
              <c:numCache>
                <c:formatCode>General</c:formatCode>
                <c:ptCount val="10"/>
                <c:pt idx="0">
                  <c:v>37.0</c:v>
                </c:pt>
                <c:pt idx="1">
                  <c:v>38.0</c:v>
                </c:pt>
                <c:pt idx="2">
                  <c:v>46.0</c:v>
                </c:pt>
                <c:pt idx="3">
                  <c:v>47.0</c:v>
                </c:pt>
                <c:pt idx="4">
                  <c:v>48.0</c:v>
                </c:pt>
                <c:pt idx="5">
                  <c:v>51.0</c:v>
                </c:pt>
                <c:pt idx="6">
                  <c:v>51.0</c:v>
                </c:pt>
                <c:pt idx="7">
                  <c:v>52.0</c:v>
                </c:pt>
                <c:pt idx="8">
                  <c:v>72.0</c:v>
                </c:pt>
                <c:pt idx="9">
                  <c:v>76.0</c:v>
                </c:pt>
              </c:numCache>
            </c:numRef>
          </c:val>
        </c:ser>
        <c:ser>
          <c:idx val="3"/>
          <c:order val="1"/>
          <c:tx>
            <c:strRef>
              <c:f>'Graph 2'!$P$26</c:f>
              <c:strCache>
                <c:ptCount val="1"/>
                <c:pt idx="0">
                  <c:v>Agree</c:v>
                </c:pt>
              </c:strCache>
            </c:strRef>
          </c:tx>
          <c:spPr>
            <a:solidFill>
              <a:schemeClr val="accent2">
                <a:lumMod val="60000"/>
                <a:lumOff val="40000"/>
              </a:schemeClr>
            </a:solidFill>
          </c:spPr>
          <c:invertIfNegative val="0"/>
          <c:dLbls>
            <c:dLbl>
              <c:idx val="0"/>
              <c:layout/>
              <c:tx>
                <c:strRef>
                  <c:f>'Graph 2'!$Q$34</c:f>
                  <c:strCache>
                    <c:ptCount val="1"/>
                    <c:pt idx="0">
                      <c:v>53% (49)</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{448FABE1-3961-44B3-85ED-072ED4A01325}</c15:txfldGUID>
                      <c15:f>'Graph 2'!$Q$34</c15:f>
                      <c15:dlblFieldTableCache>
                        <c:ptCount val="1"/>
                        <c:pt idx="0">
                          <c:v>53% (49)</c:v>
                        </c:pt>
                      </c15:dlblFieldTableCache>
                    </c15:dlblFTEntry>
                  </c15:dlblFieldTable>
                  <c15:showDataLabelsRange val="0"/>
                </c:ext>
              </c:extLst>
            </c:dLbl>
            <c:dLbl>
              <c:idx val="1"/>
              <c:layout/>
              <c:tx>
                <c:strRef>
                  <c:f>'Graph 2'!$R$34</c:f>
                  <c:strCache>
                    <c:ptCount val="1"/>
                    <c:pt idx="0">
                      <c:v>53% (49)</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{C82F4C7D-2DC7-42E7-BDC4-9B0FA0EF84C3}</c15:txfldGUID>
                      <c15:f>'Graph 2'!$R$34</c15:f>
                      <c15:dlblFieldTableCache>
                        <c:ptCount val="1"/>
                        <c:pt idx="0">
                          <c:v>53% (49)</c:v>
                        </c:pt>
                      </c15:dlblFieldTableCache>
                    </c15:dlblFTEntry>
                  </c15:dlblFieldTable>
                  <c15:showDataLabelsRange val="0"/>
                </c:ext>
              </c:extLst>
            </c:dLbl>
            <c:dLbl>
              <c:idx val="2"/>
              <c:layout/>
              <c:tx>
                <c:strRef>
                  <c:f>'Graph 2'!$S$34</c:f>
                  <c:strCache>
                    <c:ptCount val="1"/>
                    <c:pt idx="0">
                      <c:v>44% (41)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{84550E15-5D70-4DE7-834E-A74DFA9DC868}</c15:txfldGUID>
                      <c15:f>'Graph 2'!$S$34</c15:f>
                      <c15:dlblFieldTableCache>
                        <c:ptCount val="1"/>
                        <c:pt idx="0">
                          <c:v>44% (41)</c:v>
                        </c:pt>
                      </c15:dlblFieldTableCache>
                    </c15:dlblFTEntry>
                  </c15:dlblFieldTable>
                  <c15:showDataLabelsRange val="0"/>
                </c:ext>
              </c:extLst>
            </c:dLbl>
            <c:dLbl>
              <c:idx val="3"/>
              <c:layout/>
              <c:tx>
                <c:strRef>
                  <c:f>'Graph 2'!$T$34</c:f>
                  <c:strCache>
                    <c:ptCount val="1"/>
                    <c:pt idx="0">
                      <c:v>47% (44)</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{974B05B6-FBE0-4B86-85A2-C7D11BC1A2B7}</c15:txfldGUID>
                      <c15:f>'Graph 2'!$T$34</c15:f>
                      <c15:dlblFieldTableCache>
                        <c:ptCount val="1"/>
                        <c:pt idx="0">
                          <c:v>47% (44)</c:v>
                        </c:pt>
                      </c15:dlblFieldTableCache>
                    </c15:dlblFTEntry>
                  </c15:dlblFieldTable>
                  <c15:showDataLabelsRange val="0"/>
                </c:ext>
              </c:extLst>
            </c:dLbl>
            <c:dLbl>
              <c:idx val="4"/>
              <c:layout/>
              <c:tx>
                <c:strRef>
                  <c:f>'Graph 2'!$U$34</c:f>
                  <c:strCache>
                    <c:ptCount val="1"/>
                    <c:pt idx="0">
                      <c:v>46% (43)</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{EC99A001-DB5C-4936-ABF2-289F03D73A33}</c15:txfldGUID>
                      <c15:f>'Graph 2'!$U$34</c15:f>
                      <c15:dlblFieldTableCache>
                        <c:ptCount val="1"/>
                        <c:pt idx="0">
                          <c:v>46% (43)</c:v>
                        </c:pt>
                      </c15:dlblFieldTableCache>
                    </c15:dlblFTEntry>
                  </c15:dlblFieldTable>
                  <c15:showDataLabelsRange val="0"/>
                </c:ext>
              </c:extLst>
            </c:dLbl>
            <c:dLbl>
              <c:idx val="5"/>
              <c:layout/>
              <c:tx>
                <c:strRef>
                  <c:f>'Graph 2'!$V$34</c:f>
                  <c:strCache>
                    <c:ptCount val="1"/>
                    <c:pt idx="0">
                      <c:v>42% (39)</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{D8A7566B-908B-496A-8E51-DDED7EC3846F}</c15:txfldGUID>
                      <c15:f>'Graph 2'!$V$34</c15:f>
                      <c15:dlblFieldTableCache>
                        <c:ptCount val="1"/>
                        <c:pt idx="0">
                          <c:v>42% (39)</c:v>
                        </c:pt>
                      </c15:dlblFieldTableCache>
                    </c15:dlblFTEntry>
                  </c15:dlblFieldTable>
                  <c15:showDataLabelsRange val="0"/>
                </c:ext>
              </c:extLst>
            </c:dLbl>
            <c:dLbl>
              <c:idx val="6"/>
              <c:layout>
                <c:manualLayout>
                  <c:x val="0.0103359173126615"/>
                  <c:y val="0.0"/>
                </c:manualLayout>
              </c:layout>
              <c:tx>
                <c:strRef>
                  <c:f>'Graph 2'!$W$34</c:f>
                  <c:strCache>
                    <c:ptCount val="1"/>
                    <c:pt idx="0">
                      <c:v>43% (40)</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{09D43B08-8024-4AE9-91CB-63F59A296559}</c15:txfldGUID>
                      <c15:f>'Graph 2'!$W$34</c15:f>
                      <c15:dlblFieldTableCache>
                        <c:ptCount val="1"/>
                        <c:pt idx="0">
                          <c:v>43% (40)</c:v>
                        </c:pt>
                      </c15:dlblFieldTableCache>
                    </c15:dlblFTEntry>
                  </c15:dlblFieldTable>
                  <c15:showDataLabelsRange val="0"/>
                </c:ext>
              </c:extLst>
            </c:dLbl>
            <c:dLbl>
              <c:idx val="7"/>
              <c:layout/>
              <c:tx>
                <c:strRef>
                  <c:f>'Graph 2'!$X$34</c:f>
                  <c:strCache>
                    <c:ptCount val="1"/>
                    <c:pt idx="0">
                      <c:v>35% (33)</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{D48050DF-5BBC-422E-A570-6E8A63847DF7}</c15:txfldGUID>
                      <c15:f>'Graph 2'!$X$34</c15:f>
                      <c15:dlblFieldTableCache>
                        <c:ptCount val="1"/>
                        <c:pt idx="0">
                          <c:v>35% (33)</c:v>
                        </c:pt>
                      </c15:dlblFieldTableCache>
                    </c15:dlblFTEntry>
                  </c15:dlblFieldTable>
                  <c15:showDataLabelsRange val="0"/>
                </c:ext>
              </c:extLst>
            </c:dLbl>
            <c:dLbl>
              <c:idx val="8"/>
              <c:layout/>
              <c:tx>
                <c:strRef>
                  <c:f>'Graph 2'!$Y$34</c:f>
                  <c:strCache>
                    <c:ptCount val="1"/>
                    <c:pt idx="0">
                      <c:v>20% (19)</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{4965B1B8-F5EE-4BCC-81A5-326DBF7208F2}</c15:txfldGUID>
                      <c15:f>'Graph 2'!$Y$34</c15:f>
                      <c15:dlblFieldTableCache>
                        <c:ptCount val="1"/>
                        <c:pt idx="0">
                          <c:v>20% (19)</c:v>
                        </c:pt>
                      </c15:dlblFieldTableCache>
                    </c15:dlblFTEntry>
                  </c15:dlblFieldTable>
                  <c15:showDataLabelsRange val="0"/>
                </c:ext>
              </c:extLst>
            </c:dLbl>
            <c:dLbl>
              <c:idx val="9"/>
              <c:layout/>
              <c:tx>
                <c:strRef>
                  <c:f>'Graph 2'!$Z$34</c:f>
                  <c:strCache>
                    <c:ptCount val="1"/>
                    <c:pt idx="0">
                      <c:v>15% (14)</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{ACD348B8-CCD6-457E-8E65-0DD1CDFFA054}</c15:txfldGUID>
                      <c15:f>'Graph 2'!$Z$34</c15:f>
                      <c15:dlblFieldTableCache>
                        <c:ptCount val="1"/>
                        <c:pt idx="0">
                          <c:v>15% (14)</c:v>
                        </c:pt>
                      </c15:dlblFieldTableCache>
                    </c15:dlblFTEntry>
                  </c15:dlblFieldTable>
                  <c15:showDataLabelsRange val="0"/>
                </c:ext>
              </c:extLst>
            </c:dLbl>
            <c:spPr>
              <a:noFill/>
              <a:ln>
                <a:noFill/>
              </a:ln>
              <a:effectLst/>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 2'!$Q$22:$Z$22</c:f>
              <c:strCache>
                <c:ptCount val="10"/>
                <c:pt idx="0">
                  <c:v>Fundraise for our individual and collective mission</c:v>
                </c:pt>
                <c:pt idx="1">
                  <c:v>Maintain a funding dialogue with States</c:v>
                </c:pt>
                <c:pt idx="2">
                  <c:v>Ensure we adopt a principled approach to fundraising</c:v>
                </c:pt>
                <c:pt idx="3">
                  <c:v>Fundraise in a way that helps to position our brand</c:v>
                </c:pt>
                <c:pt idx="4">
                  <c:v>Work together in solidarity and good partnership</c:v>
                </c:pt>
                <c:pt idx="5">
                  <c:v>Maximize income</c:v>
                </c:pt>
                <c:pt idx="6">
                  <c:v>Invest in fundraising in order to grow</c:v>
                </c:pt>
                <c:pt idx="7">
                  <c:v>Fundraise in a way that is driven by need</c:v>
                </c:pt>
                <c:pt idx="8">
                  <c:v>Support National Society fundraising capacity development</c:v>
                </c:pt>
                <c:pt idx="9">
                  <c:v>Fundraise in a way that is accountable to donors and to the communities we serve</c:v>
                </c:pt>
              </c:strCache>
            </c:strRef>
          </c:cat>
          <c:val>
            <c:numRef>
              <c:f>'Graph 2'!$Q$26:$Z$26</c:f>
              <c:numCache>
                <c:formatCode>General</c:formatCode>
                <c:ptCount val="10"/>
                <c:pt idx="0">
                  <c:v>49.0</c:v>
                </c:pt>
                <c:pt idx="1">
                  <c:v>49.0</c:v>
                </c:pt>
                <c:pt idx="2">
                  <c:v>41.0</c:v>
                </c:pt>
                <c:pt idx="3">
                  <c:v>44.0</c:v>
                </c:pt>
                <c:pt idx="4">
                  <c:v>43.0</c:v>
                </c:pt>
                <c:pt idx="5">
                  <c:v>39.0</c:v>
                </c:pt>
                <c:pt idx="6">
                  <c:v>40.0</c:v>
                </c:pt>
                <c:pt idx="7">
                  <c:v>33.0</c:v>
                </c:pt>
                <c:pt idx="8">
                  <c:v>19.0</c:v>
                </c:pt>
                <c:pt idx="9">
                  <c:v>14.0</c:v>
                </c:pt>
              </c:numCache>
            </c:numRef>
          </c:val>
        </c:ser>
        <c:ser>
          <c:idx val="2"/>
          <c:order val="2"/>
          <c:tx>
            <c:strRef>
              <c:f>'Graph 2'!$P$25</c:f>
              <c:strCache>
                <c:ptCount val="1"/>
                <c:pt idx="0">
                  <c:v>Neither agree nor disagree</c:v>
                </c:pt>
              </c:strCache>
            </c:strRef>
          </c:tx>
          <c:spPr>
            <a:solidFill>
              <a:schemeClr val="bg1">
                <a:lumMod val="65000"/>
              </a:schemeClr>
            </a:solidFill>
          </c:spPr>
          <c:invertIfNegative val="0"/>
          <c:dLbls>
            <c:dLbl>
              <c:idx val="0"/>
              <c:layout>
                <c:manualLayout>
                  <c:x val="-0.00648144937850324"/>
                  <c:y val="-0.0065359477124183"/>
                </c:manualLayout>
              </c:layout>
              <c:tx>
                <c:strRef>
                  <c:f>'Graph 2'!$Q$33</c:f>
                  <c:strCache>
                    <c:ptCount val="1"/>
                    <c:pt idx="0">
                      <c:v>6% (6)</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{4FDB436C-C2B8-4AF2-89AF-82625CE63ABE}</c15:txfldGUID>
                      <c15:f>'Graph 2'!$Q$33</c15:f>
                      <c15:dlblFieldTableCache>
                        <c:ptCount val="1"/>
                        <c:pt idx="0">
                          <c:v>6% (6)</c:v>
                        </c:pt>
                      </c15:dlblFieldTableCache>
                    </c15:dlblFTEntry>
                  </c15:dlblFieldTable>
                  <c15:showDataLabelsRange val="0"/>
                </c:ext>
              </c:extLst>
            </c:dLbl>
            <c:dLbl>
              <c:idx val="1"/>
              <c:layout>
                <c:manualLayout>
                  <c:x val="0.00463499420625724"/>
                  <c:y val="-0.00326797385620915"/>
                </c:manualLayout>
              </c:layout>
              <c:tx>
                <c:strRef>
                  <c:f>'Graph 2'!$R$33</c:f>
                  <c:strCache>
                    <c:ptCount val="1"/>
                    <c:pt idx="0">
                      <c:v>6% (6)</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{C8CAF96F-ADFE-4ADC-9C1F-22EEADA1931F}</c15:txfldGUID>
                      <c15:f>'Graph 2'!$R$33</c15:f>
                      <c15:dlblFieldTableCache>
                        <c:ptCount val="1"/>
                        <c:pt idx="0">
                          <c:v>6% (6)</c:v>
                        </c:pt>
                      </c15:dlblFieldTableCache>
                    </c15:dlblFTEntry>
                  </c15:dlblFieldTable>
                  <c15:showDataLabelsRange val="0"/>
                </c:ext>
              </c:extLst>
            </c:dLbl>
            <c:dLbl>
              <c:idx val="2"/>
              <c:layout>
                <c:manualLayout>
                  <c:x val="0.00468888665857671"/>
                  <c:y val="-0.00326797385620915"/>
                </c:manualLayout>
              </c:layout>
              <c:tx>
                <c:strRef>
                  <c:f>'Graph 2'!$S$33</c:f>
                  <c:strCache>
                    <c:ptCount val="1"/>
                    <c:pt idx="0">
                      <c:v>6% (6)</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{E40A3D39-8130-44B1-A75B-0891C3B7E4A5}</c15:txfldGUID>
                      <c15:f>'Graph 2'!$S$33</c15:f>
                      <c15:dlblFieldTableCache>
                        <c:ptCount val="1"/>
                        <c:pt idx="0">
                          <c:v>6% (6)</c:v>
                        </c:pt>
                      </c15:dlblFieldTableCache>
                    </c15:dlblFTEntry>
                  </c15:dlblFieldTable>
                  <c15:showDataLabelsRange val="0"/>
                </c:ext>
              </c:extLst>
            </c:dLbl>
            <c:dLbl>
              <c:idx val="3"/>
              <c:layout>
                <c:manualLayout>
                  <c:x val="-0.00172265288544358"/>
                  <c:y val="-0.0196078431372549"/>
                </c:manualLayout>
              </c:layout>
              <c:tx>
                <c:strRef>
                  <c:f>'Graph 2'!$T$33</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{F0B1BD1E-7DB0-47CF-92D2-BFFB8A8BBE8C}</c15:txfldGUID>
                      <c15:f>'Graph 2'!$T$33</c15:f>
                      <c15:dlblFieldTableCache>
                        <c:ptCount val="1"/>
                        <c:pt idx="0">
                          <c:v>1% (1)</c:v>
                        </c:pt>
                      </c15:dlblFieldTableCache>
                    </c15:dlblFTEntry>
                  </c15:dlblFieldTable>
                  <c15:showDataLabelsRange val="0"/>
                </c:ext>
              </c:extLst>
            </c:dLbl>
            <c:dLbl>
              <c:idx val="4"/>
              <c:layout>
                <c:manualLayout>
                  <c:x val="0.0154499806875241"/>
                  <c:y val="5.99121619200942E-17"/>
                </c:manualLayout>
              </c:layout>
              <c:tx>
                <c:strRef>
                  <c:f>'Graph 2'!$U$33</c:f>
                  <c:strCache>
                    <c:ptCount val="1"/>
                    <c:pt idx="0">
                      <c:v>2% (2)</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{E6585BC5-1986-4B24-A430-3C2B591CDC02}</c15:txfldGUID>
                      <c15:f>'Graph 2'!$U$33</c15:f>
                      <c15:dlblFieldTableCache>
                        <c:ptCount val="1"/>
                        <c:pt idx="0">
                          <c:v>2% (2)</c:v>
                        </c:pt>
                      </c15:dlblFieldTableCache>
                    </c15:dlblFTEntry>
                  </c15:dlblFieldTable>
                  <c15:showDataLabelsRange val="0"/>
                </c:ext>
              </c:extLst>
            </c:dLbl>
            <c:dLbl>
              <c:idx val="5"/>
              <c:layout>
                <c:manualLayout>
                  <c:x val="-0.0121284781464889"/>
                  <c:y val="-0.00326823117698523"/>
                </c:manualLayout>
              </c:layout>
              <c:tx>
                <c:strRef>
                  <c:f>'Graph 2'!$V$33</c:f>
                  <c:strCache>
                    <c:ptCount val="1"/>
                    <c:pt idx="0">
                      <c:v>2% (2)</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{F6BB1557-8163-4CB9-8EF3-FA7CC50E5C12}</c15:txfldGUID>
                      <c15:f>'Graph 2'!$V$33</c15:f>
                      <c15:dlblFieldTableCache>
                        <c:ptCount val="1"/>
                        <c:pt idx="0">
                          <c:v>2% (2)</c:v>
                        </c:pt>
                      </c15:dlblFieldTableCache>
                    </c15:dlblFTEntry>
                  </c15:dlblFieldTable>
                  <c15:showDataLabelsRange val="0"/>
                </c:ext>
              </c:extLst>
            </c:dLbl>
            <c:dLbl>
              <c:idx val="6"/>
              <c:layout>
                <c:manualLayout>
                  <c:x val="-0.00261092508280034"/>
                  <c:y val="-0.0196078431372549"/>
                </c:manualLayout>
              </c:layout>
              <c:tx>
                <c:strRef>
                  <c:f>'Graph 2'!$W$33</c:f>
                  <c:strCache>
                    <c:ptCount val="1"/>
                    <c:pt idx="0">
                      <c:v>2% (2)</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{F6FA2B2C-E159-40F3-8B33-1BD2301196FC}</c15:txfldGUID>
                      <c15:f>'Graph 2'!$W$33</c15:f>
                      <c15:dlblFieldTableCache>
                        <c:ptCount val="1"/>
                        <c:pt idx="0">
                          <c:v>2% (2)</c:v>
                        </c:pt>
                      </c15:dlblFieldTableCache>
                    </c15:dlblFTEntry>
                  </c15:dlblFieldTable>
                  <c15:showDataLabelsRange val="0"/>
                </c:ext>
              </c:extLst>
            </c:dLbl>
            <c:dLbl>
              <c:idx val="7"/>
              <c:layout>
                <c:manualLayout>
                  <c:x val="-0.0142064397222653"/>
                  <c:y val="0.0"/>
                </c:manualLayout>
              </c:layout>
              <c:tx>
                <c:strRef>
                  <c:f>'Graph 2'!$X$33</c:f>
                  <c:strCache>
                    <c:ptCount val="1"/>
                    <c:pt idx="0">
                      <c:v>6% (6)</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{F717C488-A81C-43AF-9A34-2BE343B3BF70}</c15:txfldGUID>
                      <c15:f>'Graph 2'!$X$33</c15:f>
                      <c15:dlblFieldTableCache>
                        <c:ptCount val="1"/>
                        <c:pt idx="0">
                          <c:v>6% (6)</c:v>
                        </c:pt>
                      </c15:dlblFieldTableCache>
                    </c15:dlblFTEntry>
                  </c15:dlblFieldTable>
                  <c15:showDataLabelsRange val="0"/>
                </c:ext>
              </c:extLst>
            </c:dLbl>
            <c:dLbl>
              <c:idx val="8"/>
              <c:layout>
                <c:manualLayout>
                  <c:x val="0.0216838654148533"/>
                  <c:y val="0.0065359477124183"/>
                </c:manualLayout>
              </c:layout>
              <c:tx>
                <c:strRef>
                  <c:f>'Graph 2'!$Y$33</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{5D63F05B-446F-4652-AD21-383D1F81A4C1}</c15:txfldGUID>
                      <c15:f>'Graph 2'!$Y$33</c15:f>
                      <c15:dlblFieldTableCache>
                        <c:ptCount val="1"/>
                        <c:pt idx="0">
                          <c:v>1% (1)</c:v>
                        </c:pt>
                      </c15:dlblFieldTableCache>
                    </c15:dlblFTEntry>
                  </c15:dlblFieldTable>
                  <c15:showDataLabelsRange val="0"/>
                </c:ext>
              </c:extLst>
            </c:dLbl>
            <c:dLbl>
              <c:idx val="9"/>
              <c:layout>
                <c:manualLayout>
                  <c:x val="0.0081342323518946"/>
                  <c:y val="-0.0163398692810458"/>
                </c:manualLayout>
              </c:layout>
              <c:tx>
                <c:strRef>
                  <c:f>'Graph 2'!$Z$33</c:f>
                  <c:strCache>
                    <c:ptCount val="1"/>
                    <c:pt idx="0">
                      <c:v>2% (2)</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{854F5E26-22ED-4F22-8957-B771CA4942B0}</c15:txfldGUID>
                      <c15:f>'Graph 2'!$Z$33</c15:f>
                      <c15:dlblFieldTableCache>
                        <c:ptCount val="1"/>
                        <c:pt idx="0">
                          <c:v>2% (2)</c:v>
                        </c:pt>
                      </c15:dlblFieldTableCache>
                    </c15:dlblFTEntry>
                  </c15:dlblFieldTable>
                  <c15:showDataLabelsRange val="0"/>
                </c:ext>
              </c:extLst>
            </c:dLbl>
            <c:spPr>
              <a:noFill/>
              <a:ln>
                <a:noFill/>
              </a:ln>
              <a:effectLst/>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 2'!$Q$22:$Z$22</c:f>
              <c:strCache>
                <c:ptCount val="10"/>
                <c:pt idx="0">
                  <c:v>Fundraise for our individual and collective mission</c:v>
                </c:pt>
                <c:pt idx="1">
                  <c:v>Maintain a funding dialogue with States</c:v>
                </c:pt>
                <c:pt idx="2">
                  <c:v>Ensure we adopt a principled approach to fundraising</c:v>
                </c:pt>
                <c:pt idx="3">
                  <c:v>Fundraise in a way that helps to position our brand</c:v>
                </c:pt>
                <c:pt idx="4">
                  <c:v>Work together in solidarity and good partnership</c:v>
                </c:pt>
                <c:pt idx="5">
                  <c:v>Maximize income</c:v>
                </c:pt>
                <c:pt idx="6">
                  <c:v>Invest in fundraising in order to grow</c:v>
                </c:pt>
                <c:pt idx="7">
                  <c:v>Fundraise in a way that is driven by need</c:v>
                </c:pt>
                <c:pt idx="8">
                  <c:v>Support National Society fundraising capacity development</c:v>
                </c:pt>
                <c:pt idx="9">
                  <c:v>Fundraise in a way that is accountable to donors and to the communities we serve</c:v>
                </c:pt>
              </c:strCache>
            </c:strRef>
          </c:cat>
          <c:val>
            <c:numRef>
              <c:f>'Graph 2'!$Q$25:$Z$25</c:f>
              <c:numCache>
                <c:formatCode>General</c:formatCode>
                <c:ptCount val="10"/>
                <c:pt idx="0">
                  <c:v>6.0</c:v>
                </c:pt>
                <c:pt idx="1">
                  <c:v>6.0</c:v>
                </c:pt>
                <c:pt idx="2">
                  <c:v>6.0</c:v>
                </c:pt>
                <c:pt idx="3">
                  <c:v>1.0</c:v>
                </c:pt>
                <c:pt idx="4">
                  <c:v>2.0</c:v>
                </c:pt>
                <c:pt idx="5">
                  <c:v>2.0</c:v>
                </c:pt>
                <c:pt idx="6">
                  <c:v>2.0</c:v>
                </c:pt>
                <c:pt idx="7">
                  <c:v>6.0</c:v>
                </c:pt>
                <c:pt idx="8">
                  <c:v>1.0</c:v>
                </c:pt>
                <c:pt idx="9">
                  <c:v>2.0</c:v>
                </c:pt>
              </c:numCache>
            </c:numRef>
          </c:val>
        </c:ser>
        <c:ser>
          <c:idx val="1"/>
          <c:order val="3"/>
          <c:tx>
            <c:strRef>
              <c:f>'Graph 2'!$P$24</c:f>
              <c:strCache>
                <c:ptCount val="1"/>
                <c:pt idx="0">
                  <c:v>Disagree</c:v>
                </c:pt>
              </c:strCache>
            </c:strRef>
          </c:tx>
          <c:invertIfNegative val="0"/>
          <c:dLbls>
            <c:dLbl>
              <c:idx val="3"/>
              <c:layout>
                <c:manualLayout>
                  <c:x val="0.018895326380842"/>
                  <c:y val="0.00980392156862745"/>
                </c:manualLayout>
              </c:layout>
              <c:tx>
                <c:strRef>
                  <c:f>'Graph 2'!$T$32</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{8D9EE947-EC7D-4F98-8C2A-26F188964CD7}</c15:txfldGUID>
                      <c15:f>'Graph 2'!$T$32</c15:f>
                      <c15:dlblFieldTableCache>
                        <c:ptCount val="1"/>
                        <c:pt idx="0">
                          <c:v>1% (1)</c:v>
                        </c:pt>
                      </c15:dlblFieldTableCache>
                    </c15:dlblFTEntry>
                  </c15:dlblFieldTable>
                  <c15:showDataLabelsRange val="0"/>
                </c:ext>
              </c:extLst>
            </c:dLbl>
            <c:dLbl>
              <c:idx val="4"/>
              <c:layout>
                <c:manualLayout>
                  <c:x val="0.0172265288544358"/>
                  <c:y val="5.99121619200942E-17"/>
                </c:manualLayout>
              </c:layout>
              <c:tx>
                <c:strRef>
                  <c:f>'Graph 2'!$U$32</c:f>
                  <c:strCache>
                    <c:ptCount val="1"/>
                    <c:pt idx="0">
                      <c:v>0% (0)</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dlblFieldTable>
                    <c15:dlblFTEntry>
                      <c15:txfldGUID>{B04B14FA-1524-4EB0-948F-A8F05B89F7C6}</c15:txfldGUID>
                      <c15:f>'Graph 2'!$U$32</c15:f>
                      <c15:dlblFieldTableCache>
                        <c:ptCount val="1"/>
                        <c:pt idx="0">
                          <c:v>0% (0)</c:v>
                        </c:pt>
                      </c15:dlblFieldTableCache>
                    </c15:dlblFTEntry>
                  </c15:dlblFieldTable>
                  <c15:showDataLabelsRange val="0"/>
                </c:ext>
              </c:extLst>
            </c:dLbl>
            <c:dLbl>
              <c:idx val="5"/>
              <c:layout>
                <c:manualLayout>
                  <c:x val="0.0149709096328197"/>
                  <c:y val="-0.00326823117698517"/>
                </c:manualLayout>
              </c:layout>
              <c:tx>
                <c:strRef>
                  <c:f>'Graph 2'!$V$32</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{14CBC699-5759-4098-8B8E-CC90844CE8C9}</c15:txfldGUID>
                      <c15:f>'Graph 2'!$V$32</c15:f>
                      <c15:dlblFieldTableCache>
                        <c:ptCount val="1"/>
                        <c:pt idx="0">
                          <c:v>1% (1)</c:v>
                        </c:pt>
                      </c15:dlblFieldTableCache>
                    </c15:dlblFTEntry>
                  </c15:dlblFieldTable>
                  <c15:showDataLabelsRange val="0"/>
                </c:ext>
              </c:extLst>
            </c:dLbl>
            <c:dLbl>
              <c:idx val="6"/>
              <c:layout>
                <c:manualLayout>
                  <c:x val="0.0127691049047607"/>
                  <c:y val="0.0065359477124183"/>
                </c:manualLayout>
              </c:layout>
              <c:tx>
                <c:strRef>
                  <c:f>'Graph 2'!$W$32</c:f>
                  <c:strCache>
                    <c:ptCount val="1"/>
                    <c:pt idx="0">
                      <c:v>0% (0)</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dlblFieldTable>
                    <c15:dlblFTEntry>
                      <c15:txfldGUID>{955502B5-243A-4AB1-9701-F88048DE1BC6}</c15:txfldGUID>
                      <c15:f>'Graph 2'!$W$32</c15:f>
                      <c15:dlblFieldTableCache>
                        <c:ptCount val="1"/>
                        <c:pt idx="0">
                          <c:v>0% (0)</c:v>
                        </c:pt>
                      </c15:dlblFieldTableCache>
                    </c15:dlblFTEntry>
                  </c15:dlblFieldTable>
                  <c15:showDataLabelsRange val="0"/>
                </c:ext>
              </c:extLst>
            </c:dLbl>
            <c:dLbl>
              <c:idx val="7"/>
              <c:layout>
                <c:manualLayout>
                  <c:x val="-0.00154511972214365"/>
                  <c:y val="-0.00980392156862745"/>
                </c:manualLayout>
              </c:layout>
              <c:tx>
                <c:strRef>
                  <c:f>'Graph 2'!$X$32</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{634EE600-57A3-4A95-8635-B6C7E167617C}</c15:txfldGUID>
                      <c15:f>'Graph 2'!$X$32</c15:f>
                      <c15:dlblFieldTableCache>
                        <c:ptCount val="1"/>
                        <c:pt idx="0">
                          <c:v>1% (1)</c:v>
                        </c:pt>
                      </c15:dlblFieldTableCache>
                    </c15:dlblFTEntry>
                  </c15:dlblFieldTable>
                  <c15:showDataLabelsRange val="0"/>
                </c:ext>
              </c:extLst>
            </c:dLbl>
            <c:dLbl>
              <c:idx val="9"/>
              <c:layout>
                <c:manualLayout>
                  <c:x val="0.0155038759689923"/>
                  <c:y val="0.0163398692810458"/>
                </c:manualLayout>
              </c:layout>
              <c:tx>
                <c:strRef>
                  <c:f>'Graph 2'!$Z$32</c:f>
                  <c:strCache>
                    <c:ptCount val="1"/>
                    <c:pt idx="0">
                      <c:v>0% (0)</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dlblFieldTable>
                    <c15:dlblFTEntry>
                      <c15:txfldGUID>{007027FF-25AD-4894-9BFE-7B5FB872D677}</c15:txfldGUID>
                      <c15:f>'Graph 2'!$Z$32</c15:f>
                      <c15:dlblFieldTableCache>
                        <c:ptCount val="1"/>
                        <c:pt idx="0">
                          <c:v>0% (0)</c:v>
                        </c:pt>
                      </c15:dlblFieldTableCache>
                    </c15:dlblFTEntry>
                  </c15:dlblFieldTable>
                  <c15:showDataLabelsRange val="0"/>
                </c:ext>
              </c:extLst>
            </c:dLbl>
            <c:spPr>
              <a:noFill/>
              <a:ln>
                <a:noFill/>
              </a:ln>
              <a:effectLst/>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 2'!$Q$22:$Z$22</c:f>
              <c:strCache>
                <c:ptCount val="10"/>
                <c:pt idx="0">
                  <c:v>Fundraise for our individual and collective mission</c:v>
                </c:pt>
                <c:pt idx="1">
                  <c:v>Maintain a funding dialogue with States</c:v>
                </c:pt>
                <c:pt idx="2">
                  <c:v>Ensure we adopt a principled approach to fundraising</c:v>
                </c:pt>
                <c:pt idx="3">
                  <c:v>Fundraise in a way that helps to position our brand</c:v>
                </c:pt>
                <c:pt idx="4">
                  <c:v>Work together in solidarity and good partnership</c:v>
                </c:pt>
                <c:pt idx="5">
                  <c:v>Maximize income</c:v>
                </c:pt>
                <c:pt idx="6">
                  <c:v>Invest in fundraising in order to grow</c:v>
                </c:pt>
                <c:pt idx="7">
                  <c:v>Fundraise in a way that is driven by need</c:v>
                </c:pt>
                <c:pt idx="8">
                  <c:v>Support National Society fundraising capacity development</c:v>
                </c:pt>
                <c:pt idx="9">
                  <c:v>Fundraise in a way that is accountable to donors and to the communities we serve</c:v>
                </c:pt>
              </c:strCache>
            </c:strRef>
          </c:cat>
          <c:val>
            <c:numRef>
              <c:f>'Graph 2'!$Q$24:$Z$24</c:f>
              <c:numCache>
                <c:formatCode>General</c:formatCode>
                <c:ptCount val="10"/>
                <c:pt idx="0">
                  <c:v>#N/A</c:v>
                </c:pt>
                <c:pt idx="1">
                  <c:v>#N/A</c:v>
                </c:pt>
                <c:pt idx="2">
                  <c:v>#N/A</c:v>
                </c:pt>
                <c:pt idx="3">
                  <c:v>1.0</c:v>
                </c:pt>
                <c:pt idx="4">
                  <c:v>#N/A</c:v>
                </c:pt>
                <c:pt idx="5">
                  <c:v>1.0</c:v>
                </c:pt>
                <c:pt idx="6">
                  <c:v>#N/A</c:v>
                </c:pt>
                <c:pt idx="7">
                  <c:v>1.0</c:v>
                </c:pt>
                <c:pt idx="8">
                  <c:v>#N/A</c:v>
                </c:pt>
                <c:pt idx="9">
                  <c:v>#N/A</c:v>
                </c:pt>
              </c:numCache>
            </c:numRef>
          </c:val>
        </c:ser>
        <c:ser>
          <c:idx val="0"/>
          <c:order val="4"/>
          <c:tx>
            <c:strRef>
              <c:f>'Graph 2'!$P$23</c:f>
              <c:strCache>
                <c:ptCount val="1"/>
                <c:pt idx="0">
                  <c:v>Strongly disagree</c:v>
                </c:pt>
              </c:strCache>
            </c:strRef>
          </c:tx>
          <c:invertIfNegative val="0"/>
          <c:dLbls>
            <c:dLbl>
              <c:idx val="0"/>
              <c:layout>
                <c:manualLayout>
                  <c:x val="0.0108149864812669"/>
                  <c:y val="0.0"/>
                </c:manualLayout>
              </c:layout>
              <c:tx>
                <c:strRef>
                  <c:f>'Graph 2'!$Q$31</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{467659FD-CDC5-489C-B374-176A741DB0C9}</c15:txfldGUID>
                      <c15:f>'Graph 2'!$Q$31</c15:f>
                      <c15:dlblFieldTableCache>
                        <c:ptCount val="1"/>
                        <c:pt idx="0">
                          <c:v>1% (1)</c:v>
                        </c:pt>
                      </c15:dlblFieldTableCache>
                    </c15:dlblFTEntry>
                  </c15:dlblFieldTable>
                  <c15:showDataLabelsRange val="0"/>
                </c:ext>
              </c:extLst>
            </c:dLbl>
            <c:dLbl>
              <c:idx val="1"/>
              <c:layout>
                <c:manualLayout>
                  <c:x val="0.0103359173126616"/>
                  <c:y val="0.00980392156862745"/>
                </c:manualLayout>
              </c:layout>
              <c:tx>
                <c:strRef>
                  <c:f>'Graph 2'!$R$31</c:f>
                  <c:strCache>
                    <c:ptCount val="1"/>
                    <c:pt idx="0">
                      <c:v>0% (0)</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dlblFieldTable>
                    <c15:dlblFTEntry>
                      <c15:txfldGUID>{2BC2F50E-B741-462E-8300-8B324850E4A0}</c15:txfldGUID>
                      <c15:f>'Graph 2'!$R$31</c15:f>
                      <c15:dlblFieldTableCache>
                        <c:ptCount val="1"/>
                        <c:pt idx="0">
                          <c:v>0% (0)</c:v>
                        </c:pt>
                      </c15:dlblFieldTableCache>
                    </c15:dlblFTEntry>
                  </c15:dlblFieldTable>
                  <c15:showDataLabelsRange val="0"/>
                </c:ext>
              </c:extLst>
            </c:dLbl>
            <c:dLbl>
              <c:idx val="3"/>
              <c:layout>
                <c:manualLayout>
                  <c:x val="0.017226528854436"/>
                  <c:y val="-0.0196078431372549"/>
                </c:manualLayout>
              </c:layout>
              <c:tx>
                <c:strRef>
                  <c:f>'Graph 2'!$T$31</c:f>
                  <c:strCache>
                    <c:ptCount val="1"/>
                    <c:pt idx="0">
                      <c:v>0% (0)</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dlblFieldTable>
                    <c15:dlblFTEntry>
                      <c15:txfldGUID>{5184E39D-9019-452B-9AB8-0DA2939FE0E9}</c15:txfldGUID>
                      <c15:f>'Graph 2'!$T$31</c15:f>
                      <c15:dlblFieldTableCache>
                        <c:ptCount val="1"/>
                        <c:pt idx="0">
                          <c:v>0% (0)</c:v>
                        </c:pt>
                      </c15:dlblFieldTableCache>
                    </c15:dlblFTEntry>
                  </c15:dlblFieldTable>
                  <c15:showDataLabelsRange val="0"/>
                </c:ext>
              </c:extLst>
            </c:dLbl>
            <c:dLbl>
              <c:idx val="6"/>
              <c:layout>
                <c:manualLayout>
                  <c:x val="0.0103359173126615"/>
                  <c:y val="0.0"/>
                </c:manualLayout>
              </c:layout>
              <c:tx>
                <c:strRef>
                  <c:f>'Graph 2'!$W$31</c:f>
                  <c:strCache>
                    <c:ptCount val="1"/>
                    <c:pt idx="0">
                      <c:v>0% (0)</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dlblFieldTable>
                    <c15:dlblFTEntry>
                      <c15:txfldGUID>{FD54CC8B-5F43-4F3F-B7F7-3E451D8F5308}</c15:txfldGUID>
                      <c15:f>'Graph 2'!$W$31</c15:f>
                      <c15:dlblFieldTableCache>
                        <c:ptCount val="1"/>
                        <c:pt idx="0">
                          <c:v>0% (0)</c:v>
                        </c:pt>
                      </c15:dlblFieldTableCache>
                    </c15:dlblFTEntry>
                  </c15:dlblFieldTable>
                  <c15:showDataLabelsRange val="0"/>
                </c:ext>
              </c:extLst>
            </c:dLbl>
            <c:dLbl>
              <c:idx val="7"/>
              <c:layout>
                <c:manualLayout>
                  <c:x val="0.0156275946387351"/>
                  <c:y val="0.00980392156862745"/>
                </c:manualLayout>
              </c:layout>
              <c:tx>
                <c:strRef>
                  <c:f>'Graph 2'!$X$31</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{14953AD7-6358-4320-AEFB-1DED494ADEBB}</c15:txfldGUID>
                      <c15:f>'Graph 2'!$X$31</c15:f>
                      <c15:dlblFieldTableCache>
                        <c:ptCount val="1"/>
                        <c:pt idx="0">
                          <c:v>1% (1)</c:v>
                        </c:pt>
                      </c15:dlblFieldTableCache>
                    </c15:dlblFTEntry>
                  </c15:dlblFieldTable>
                  <c15:showDataLabelsRange val="0"/>
                </c:ext>
              </c:extLst>
            </c:dLbl>
            <c:dLbl>
              <c:idx val="8"/>
              <c:layout>
                <c:manualLayout>
                  <c:x val="0.00142127656986109"/>
                  <c:y val="-0.0130718954248366"/>
                </c:manualLayout>
              </c:layout>
              <c:tx>
                <c:strRef>
                  <c:f>'Graph 2'!$Y$31</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{5738060C-A585-4B2B-B500-8F52CC99168D}</c15:txfldGUID>
                      <c15:f>'Graph 2'!$Y$31</c15:f>
                      <c15:dlblFieldTableCache>
                        <c:ptCount val="1"/>
                        <c:pt idx="0">
                          <c:v>1% (1)</c:v>
                        </c:pt>
                      </c15:dlblFieldTableCache>
                    </c15:dlblFTEntry>
                  </c15:dlblFieldTable>
                  <c15:showDataLabelsRange val="0"/>
                </c:ext>
              </c:extLst>
            </c:dLbl>
            <c:dLbl>
              <c:idx val="9"/>
              <c:layout>
                <c:manualLayout>
                  <c:x val="0.0171725927074875"/>
                  <c:y val="0.00980392156862745"/>
                </c:manualLayout>
              </c:layout>
              <c:tx>
                <c:strRef>
                  <c:f>'Graph 2'!$Z$31</c:f>
                  <c:strCache>
                    <c:ptCount val="1"/>
                    <c:pt idx="0">
                      <c:v>1% (1)</c:v>
                    </c:pt>
                  </c:strCache>
                </c:strRef>
              </c:tx>
              <c:spPr/>
              <c:txPr>
                <a:bodyPr/>
                <a:lstStyle/>
                <a:p>
                  <a:pPr>
                    <a:defRPr sz="800" b="0" i="0" u="none" strike="noStrike" baseline="0">
                      <a:solidFill>
                        <a:srgbClr val="000000"/>
                      </a:solidFill>
                      <a:latin typeface="Calibri"/>
                      <a:ea typeface="Calibri"/>
                      <a:cs typeface="Calibri"/>
                    </a:defRPr>
                  </a:pPr>
                  <a:endParaRPr lang="ru-RU"/>
                </a:p>
              </c:txPr>
              <c:dLblPos val="ctr"/>
              <c:showLegendKey val="0"/>
              <c:showVal val="0"/>
              <c:showCatName val="0"/>
              <c:showSerName val="0"/>
              <c:showPercent val="0"/>
              <c:showBubbleSize val="0"/>
              <c:extLst>
                <c:ext xmlns:c15="http://schemas.microsoft.com/office/drawing/2012/chart" uri="{CE6537A1-D6FC-4f65-9D91-7224C49458BB}">
                  <c15:layout/>
                  <c15:dlblFieldTable>
                    <c15:dlblFTEntry>
                      <c15:txfldGUID>{0CB1531A-106C-4E8A-8294-816BFD01D071}</c15:txfldGUID>
                      <c15:f>'Graph 2'!$Z$31</c15:f>
                      <c15:dlblFieldTableCache>
                        <c:ptCount val="1"/>
                        <c:pt idx="0">
                          <c:v>1% (1)</c:v>
                        </c:pt>
                      </c15:dlblFieldTableCache>
                    </c15:dlblFTEntry>
                  </c15:dlblFieldTable>
                  <c15:showDataLabelsRange val="0"/>
                </c:ext>
              </c:extLst>
            </c:dLbl>
            <c:spPr>
              <a:noFill/>
              <a:ln>
                <a:noFill/>
              </a:ln>
              <a:effectLst/>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 2'!$Q$22:$Z$22</c:f>
              <c:strCache>
                <c:ptCount val="10"/>
                <c:pt idx="0">
                  <c:v>Fundraise for our individual and collective mission</c:v>
                </c:pt>
                <c:pt idx="1">
                  <c:v>Maintain a funding dialogue with States</c:v>
                </c:pt>
                <c:pt idx="2">
                  <c:v>Ensure we adopt a principled approach to fundraising</c:v>
                </c:pt>
                <c:pt idx="3">
                  <c:v>Fundraise in a way that helps to position our brand</c:v>
                </c:pt>
                <c:pt idx="4">
                  <c:v>Work together in solidarity and good partnership</c:v>
                </c:pt>
                <c:pt idx="5">
                  <c:v>Maximize income</c:v>
                </c:pt>
                <c:pt idx="6">
                  <c:v>Invest in fundraising in order to grow</c:v>
                </c:pt>
                <c:pt idx="7">
                  <c:v>Fundraise in a way that is driven by need</c:v>
                </c:pt>
                <c:pt idx="8">
                  <c:v>Support National Society fundraising capacity development</c:v>
                </c:pt>
                <c:pt idx="9">
                  <c:v>Fundraise in a way that is accountable to donors and to the communities we serve</c:v>
                </c:pt>
              </c:strCache>
            </c:strRef>
          </c:cat>
          <c:val>
            <c:numRef>
              <c:f>'Graph 2'!$Q$23:$Z$23</c:f>
              <c:numCache>
                <c:formatCode>General</c:formatCode>
                <c:ptCount val="10"/>
                <c:pt idx="0">
                  <c:v>1.0</c:v>
                </c:pt>
                <c:pt idx="1">
                  <c:v>#N/A</c:v>
                </c:pt>
                <c:pt idx="2">
                  <c:v>#N/A</c:v>
                </c:pt>
                <c:pt idx="3">
                  <c:v>#N/A</c:v>
                </c:pt>
                <c:pt idx="4">
                  <c:v>#N/A</c:v>
                </c:pt>
                <c:pt idx="5">
                  <c:v>#N/A</c:v>
                </c:pt>
                <c:pt idx="6">
                  <c:v>#N/A</c:v>
                </c:pt>
                <c:pt idx="7">
                  <c:v>1.0</c:v>
                </c:pt>
                <c:pt idx="8">
                  <c:v>1.0</c:v>
                </c:pt>
                <c:pt idx="9">
                  <c:v>1.0</c:v>
                </c:pt>
              </c:numCache>
            </c:numRef>
          </c:val>
        </c:ser>
        <c:dLbls>
          <c:showLegendKey val="0"/>
          <c:showVal val="0"/>
          <c:showCatName val="0"/>
          <c:showSerName val="0"/>
          <c:showPercent val="0"/>
          <c:showBubbleSize val="0"/>
        </c:dLbls>
        <c:gapWidth val="150"/>
        <c:overlap val="100"/>
        <c:axId val="-2145885320"/>
        <c:axId val="-2145889288"/>
      </c:barChart>
      <c:catAx>
        <c:axId val="-2145885320"/>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145889288"/>
        <c:crosses val="autoZero"/>
        <c:auto val="1"/>
        <c:lblAlgn val="ctr"/>
        <c:lblOffset val="100"/>
        <c:noMultiLvlLbl val="0"/>
      </c:catAx>
      <c:valAx>
        <c:axId val="-2145889288"/>
        <c:scaling>
          <c:orientation val="minMax"/>
        </c:scaling>
        <c:delete val="0"/>
        <c:axPos val="b"/>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145885320"/>
        <c:crosses val="autoZero"/>
        <c:crossBetween val="between"/>
      </c:valAx>
    </c:plotArea>
    <c:legend>
      <c:legendPos val="b"/>
      <c:layout/>
      <c:overlay val="0"/>
      <c:txPr>
        <a:bodyPr/>
        <a:lstStyle/>
        <a:p>
          <a:pPr>
            <a:defRPr sz="71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'Graph 3'!$B$1</c:f>
          <c:strCache>
            <c:ptCount val="1"/>
            <c:pt idx="0">
              <c:v>Q3. Are there additional themes your National Society would like to see included in the Movement-wide principles for resource mobilization?</c:v>
            </c:pt>
          </c:strCache>
        </c:strRef>
      </c:tx>
      <c:layout/>
      <c:overlay val="0"/>
      <c:spPr>
        <a:noFill/>
        <a:ln w="25400">
          <a:noFill/>
        </a:ln>
      </c:spPr>
      <c:txPr>
        <a:bodyPr/>
        <a:lstStyle/>
        <a:p>
          <a:pPr>
            <a:defRPr sz="1000" b="1" i="1" u="none" strike="noStrike" baseline="0">
              <a:solidFill>
                <a:srgbClr val="000000"/>
              </a:solidFill>
              <a:latin typeface="Calibri"/>
              <a:ea typeface="Calibri"/>
              <a:cs typeface="Calibri"/>
            </a:defRPr>
          </a:pPr>
          <a:endParaRPr lang="ru-RU"/>
        </a:p>
      </c:txPr>
    </c:title>
    <c:autoTitleDeleted val="0"/>
    <c:plotArea>
      <c:layout/>
      <c:pieChart>
        <c:varyColors val="1"/>
        <c:ser>
          <c:idx val="0"/>
          <c:order val="0"/>
          <c:spPr>
            <a:solidFill>
              <a:srgbClr val="B9CDE5"/>
            </a:solidFill>
            <a:ln w="25400">
              <a:noFill/>
            </a:ln>
          </c:spPr>
          <c:dPt>
            <c:idx val="0"/>
            <c:bubble3D val="0"/>
            <c:extLst xmlns:c16r2="http://schemas.microsoft.com/office/drawing/2015/06/chart">
              <c:ext xmlns:c16="http://schemas.microsoft.com/office/drawing/2014/chart" uri="{C3380CC4-5D6E-409C-BE32-E72D297353CC}">
                <c16:uniqueId val="{00000000-DD2C-47AD-BC95-080DD789DF66}"/>
              </c:ext>
            </c:extLst>
          </c:dPt>
          <c:dPt>
            <c:idx val="1"/>
            <c:bubble3D val="0"/>
            <c:spPr>
              <a:solidFill>
                <a:srgbClr val="C00000"/>
              </a:solidFill>
              <a:ln w="25400">
                <a:noFill/>
              </a:ln>
            </c:spPr>
            <c:extLst xmlns:c16r2="http://schemas.microsoft.com/office/drawing/2015/06/chart">
              <c:ext xmlns:c16="http://schemas.microsoft.com/office/drawing/2014/chart" uri="{C3380CC4-5D6E-409C-BE32-E72D297353CC}">
                <c16:uniqueId val="{00000002-DD2C-47AD-BC95-080DD789DF66}"/>
              </c:ext>
            </c:extLst>
          </c:dPt>
          <c:dLbls>
            <c:dLbl>
              <c:idx val="0"/>
              <c:layout>
                <c:manualLayout>
                  <c:x val="-0.113478127243073"/>
                  <c:y val="0.136969093638619"/>
                </c:manualLayout>
              </c:layout>
              <c:tx>
                <c:strRef>
                  <c:f>'Graph 3'!$G$8</c:f>
                  <c:strCache>
                    <c:ptCount val="1"/>
                    <c:pt idx="0">
                      <c:v>27% (25)</c:v>
                    </c:pt>
                  </c:strCache>
                </c:strRef>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DD2C-47AD-BC95-080DD789DF66}"/>
                </c:ext>
                <c:ext xmlns:c15="http://schemas.microsoft.com/office/drawing/2012/chart" uri="{CE6537A1-D6FC-4f65-9D91-7224C49458BB}">
                  <c15:layout/>
                  <c15:dlblFieldTable>
                    <c15:dlblFTEntry>
                      <c15:txfldGUID>{34957F71-963A-4E72-A826-E3F010435B32}</c15:txfldGUID>
                      <c15:f>'Graph 3'!$G$8</c15:f>
                      <c15:dlblFieldTableCache>
                        <c:ptCount val="1"/>
                        <c:pt idx="0">
                          <c:v>27% (25)</c:v>
                        </c:pt>
                      </c15:dlblFieldTableCache>
                    </c15:dlblFTEntry>
                  </c15:dlblFieldTable>
                  <c15:showDataLabelsRange val="0"/>
                </c:ext>
              </c:extLst>
            </c:dLbl>
            <c:dLbl>
              <c:idx val="1"/>
              <c:layout>
                <c:manualLayout>
                  <c:x val="0.118466280379375"/>
                  <c:y val="-0.162356247738644"/>
                </c:manualLayout>
              </c:layout>
              <c:tx>
                <c:strRef>
                  <c:f>'Graph 3'!$G$9</c:f>
                  <c:strCache>
                    <c:ptCount val="1"/>
                    <c:pt idx="0">
                      <c:v>73% (68)</c:v>
                    </c:pt>
                  </c:strCache>
                </c:strRef>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DD2C-47AD-BC95-080DD789DF66}"/>
                </c:ext>
                <c:ext xmlns:c15="http://schemas.microsoft.com/office/drawing/2012/chart" uri="{CE6537A1-D6FC-4f65-9D91-7224C49458BB}">
                  <c15:layout/>
                  <c15:dlblFieldTable>
                    <c15:dlblFTEntry>
                      <c15:txfldGUID>{2EF53038-473B-4B1C-8A89-75F1A080976A}</c15:txfldGUID>
                      <c15:f>'Graph 3'!$G$9</c15:f>
                      <c15:dlblFieldTableCache>
                        <c:ptCount val="1"/>
                        <c:pt idx="0">
                          <c:v>73% (68)</c:v>
                        </c:pt>
                      </c15:dlblFieldTableCache>
                    </c15:dlblFTEntry>
                  </c15:dlblFieldTable>
                  <c15:showDataLabelsRange val="0"/>
                </c:ext>
              </c:extLst>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dLblPos val="in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'Graph 3'!$D$8:$D$9</c:f>
              <c:strCache>
                <c:ptCount val="2"/>
                <c:pt idx="0">
                  <c:v>Yes</c:v>
                </c:pt>
                <c:pt idx="1">
                  <c:v>No</c:v>
                </c:pt>
              </c:strCache>
            </c:strRef>
          </c:cat>
          <c:val>
            <c:numRef>
              <c:f>'Graph 3'!$E$8:$E$9</c:f>
              <c:numCache>
                <c:formatCode>General</c:formatCode>
                <c:ptCount val="2"/>
                <c:pt idx="0">
                  <c:v>25.0</c:v>
                </c:pt>
                <c:pt idx="1">
                  <c:v>68.0</c:v>
                </c:pt>
              </c:numCache>
            </c:numRef>
          </c:val>
          <c:extLst xmlns:c16r2="http://schemas.microsoft.com/office/drawing/2015/06/chart">
            <c:ext xmlns:c16="http://schemas.microsoft.com/office/drawing/2014/chart" uri="{C3380CC4-5D6E-409C-BE32-E72D297353CC}">
              <c16:uniqueId val="{00000003-DD2C-47AD-BC95-080DD789DF66}"/>
            </c:ext>
          </c:extLst>
        </c:ser>
        <c:dLbls>
          <c:showLegendKey val="0"/>
          <c:showVal val="0"/>
          <c:showCatName val="0"/>
          <c:showSerName val="0"/>
          <c:showPercent val="0"/>
          <c:showBubbleSize val="0"/>
          <c:showLeaderLines val="0"/>
        </c:dLbls>
        <c:firstSliceAng val="0"/>
      </c:pieChart>
      <c:spPr>
        <a:noFill/>
        <a:ln w="25400">
          <a:noFill/>
        </a:ln>
      </c:spPr>
    </c:plotArea>
    <c:legend>
      <c:legendPos val="r"/>
      <c:layout>
        <c:manualLayout>
          <c:xMode val="edge"/>
          <c:yMode val="edge"/>
          <c:x val="0.897756430843452"/>
          <c:y val="0.49746192893401"/>
          <c:w val="0.0648379644498048"/>
          <c:h val="0.16751269035533"/>
        </c:manualLayout>
      </c:layout>
      <c:overlay val="0"/>
      <c:spPr>
        <a:noFill/>
        <a:ln w="25400">
          <a:noFill/>
        </a:ln>
      </c:spPr>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'Graph 16'!$B$1</c:f>
          <c:strCache>
            <c:ptCount val="1"/>
            <c:pt idx="0">
              <c:v>Q16. Would your National Society be interested in receiving a financial investment to develop your fundraising activities?</c:v>
            </c:pt>
          </c:strCache>
        </c:strRef>
      </c:tx>
      <c:layout/>
      <c:overlay val="0"/>
      <c:spPr>
        <a:noFill/>
        <a:ln w="25400">
          <a:noFill/>
        </a:ln>
      </c:spPr>
    </c:title>
    <c:autoTitleDeleted val="0"/>
    <c:plotArea>
      <c:layout/>
      <c:pieChart>
        <c:varyColors val="1"/>
        <c:ser>
          <c:idx val="0"/>
          <c:order val="0"/>
          <c:spPr>
            <a:solidFill>
              <a:srgbClr val="B9CDE5"/>
            </a:solidFill>
            <a:ln w="25400">
              <a:noFill/>
            </a:ln>
          </c:spPr>
          <c:dPt>
            <c:idx val="0"/>
            <c:bubble3D val="0"/>
            <c:extLst xmlns:c16r2="http://schemas.microsoft.com/office/drawing/2015/06/chart">
              <c:ext xmlns:c16="http://schemas.microsoft.com/office/drawing/2014/chart" uri="{C3380CC4-5D6E-409C-BE32-E72D297353CC}">
                <c16:uniqueId val="{00000000-FA3E-4196-AE43-5827F3BCE65A}"/>
              </c:ext>
            </c:extLst>
          </c:dPt>
          <c:dPt>
            <c:idx val="1"/>
            <c:bubble3D val="0"/>
            <c:spPr>
              <a:solidFill>
                <a:srgbClr val="C00000"/>
              </a:solidFill>
              <a:ln w="25400">
                <a:noFill/>
              </a:ln>
            </c:spPr>
            <c:extLst xmlns:c16r2="http://schemas.microsoft.com/office/drawing/2015/06/chart">
              <c:ext xmlns:c16="http://schemas.microsoft.com/office/drawing/2014/chart" uri="{C3380CC4-5D6E-409C-BE32-E72D297353CC}">
                <c16:uniqueId val="{00000002-FA3E-4196-AE43-5827F3BCE65A}"/>
              </c:ext>
            </c:extLst>
          </c:dPt>
          <c:dPt>
            <c:idx val="2"/>
            <c:bubble3D val="0"/>
            <c:spPr>
              <a:solidFill>
                <a:srgbClr val="A6A6A6"/>
              </a:solidFill>
              <a:ln w="25400">
                <a:noFill/>
              </a:ln>
            </c:spPr>
            <c:extLst xmlns:c16r2="http://schemas.microsoft.com/office/drawing/2015/06/chart">
              <c:ext xmlns:c16="http://schemas.microsoft.com/office/drawing/2014/chart" uri="{C3380CC4-5D6E-409C-BE32-E72D297353CC}">
                <c16:uniqueId val="{00000004-FA3E-4196-AE43-5827F3BCE65A}"/>
              </c:ext>
            </c:extLst>
          </c:dPt>
          <c:dLbls>
            <c:dLbl>
              <c:idx val="0"/>
              <c:layout/>
              <c:tx>
                <c:strRef>
                  <c:f>'Graph 16'!$G$8</c:f>
                  <c:strCache>
                    <c:ptCount val="1"/>
                    <c:pt idx="0">
                      <c:v>81% (75)</c:v>
                    </c:pt>
                  </c:strCache>
                </c:strRef>
              </c:tx>
              <c:dLblPos val="in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FA3E-4196-AE43-5827F3BCE65A}"/>
                </c:ext>
                <c:ext xmlns:c15="http://schemas.microsoft.com/office/drawing/2012/chart" uri="{CE6537A1-D6FC-4f65-9D91-7224C49458BB}">
                  <c15:layout/>
                  <c15:dlblFieldTable>
                    <c15:dlblFTEntry>
                      <c15:txfldGUID>{91A1D53D-858D-430D-8999-E1D14415DEB8}</c15:txfldGUID>
                      <c15:f>'Graph 16'!$G$8</c15:f>
                      <c15:dlblFieldTableCache>
                        <c:ptCount val="1"/>
                        <c:pt idx="0">
                          <c:v>81% (75)</c:v>
                        </c:pt>
                      </c15:dlblFieldTableCache>
                    </c15:dlblFTEntry>
                  </c15:dlblFieldTable>
                  <c15:showDataLabelsRange val="0"/>
                </c:ext>
              </c:extLst>
            </c:dLbl>
            <c:dLbl>
              <c:idx val="1"/>
              <c:layout/>
              <c:tx>
                <c:strRef>
                  <c:f>'Graph 16'!$G$9</c:f>
                  <c:strCache>
                    <c:ptCount val="1"/>
                    <c:pt idx="0">
                      <c:v>15% (14)</c:v>
                    </c:pt>
                  </c:strCache>
                </c:strRef>
              </c:tx>
              <c:dLblPos val="in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FA3E-4196-AE43-5827F3BCE65A}"/>
                </c:ext>
                <c:ext xmlns:c15="http://schemas.microsoft.com/office/drawing/2012/chart" uri="{CE6537A1-D6FC-4f65-9D91-7224C49458BB}">
                  <c15:layout/>
                  <c15:dlblFieldTable>
                    <c15:dlblFTEntry>
                      <c15:txfldGUID>{AB8C7B9B-1D49-4217-B349-95BDBC19142E}</c15:txfldGUID>
                      <c15:f>'Graph 16'!$G$9</c15:f>
                      <c15:dlblFieldTableCache>
                        <c:ptCount val="1"/>
                        <c:pt idx="0">
                          <c:v>15% (14)</c:v>
                        </c:pt>
                      </c15:dlblFieldTableCache>
                    </c15:dlblFTEntry>
                  </c15:dlblFieldTable>
                  <c15:showDataLabelsRange val="0"/>
                </c:ext>
              </c:extLst>
            </c:dLbl>
            <c:dLbl>
              <c:idx val="2"/>
              <c:layout/>
              <c:tx>
                <c:strRef>
                  <c:f>'Graph 16'!$G$10</c:f>
                  <c:strCache>
                    <c:ptCount val="1"/>
                    <c:pt idx="0">
                      <c:v>4% (4)</c:v>
                    </c:pt>
                  </c:strCache>
                </c:strRef>
              </c:tx>
              <c:dLblPos val="in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FA3E-4196-AE43-5827F3BCE65A}"/>
                </c:ext>
                <c:ext xmlns:c15="http://schemas.microsoft.com/office/drawing/2012/chart" uri="{CE6537A1-D6FC-4f65-9D91-7224C49458BB}">
                  <c15:layout/>
                  <c15:dlblFieldTable>
                    <c15:dlblFTEntry>
                      <c15:txfldGUID>{806A088B-12E9-4850-AD82-29DDE96B0547}</c15:txfldGUID>
                      <c15:f>'Graph 16'!$G$10</c15:f>
                      <c15:dlblFieldTableCache>
                        <c:ptCount val="1"/>
                        <c:pt idx="0">
                          <c:v>4% (4)</c:v>
                        </c:pt>
                      </c15:dlblFieldTableCache>
                    </c15:dlblFTEntry>
                  </c15:dlblFieldTable>
                  <c15:showDataLabelsRange val="0"/>
                </c:ext>
              </c:extLst>
            </c:dLbl>
            <c:spPr>
              <a:noFill/>
              <a:ln w="25400">
                <a:noFill/>
              </a:ln>
            </c:spPr>
            <c:dLblPos val="in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'Graph 16'!$D$8:$D$10</c:f>
              <c:strCache>
                <c:ptCount val="3"/>
                <c:pt idx="0">
                  <c:v>Yes</c:v>
                </c:pt>
                <c:pt idx="1">
                  <c:v>No</c:v>
                </c:pt>
                <c:pt idx="2">
                  <c:v>Don't know</c:v>
                </c:pt>
              </c:strCache>
            </c:strRef>
          </c:cat>
          <c:val>
            <c:numRef>
              <c:f>'Graph 16'!$E$8:$E$10</c:f>
              <c:numCache>
                <c:formatCode>General</c:formatCode>
                <c:ptCount val="3"/>
                <c:pt idx="0">
                  <c:v>75.0</c:v>
                </c:pt>
                <c:pt idx="1">
                  <c:v>14.0</c:v>
                </c:pt>
                <c:pt idx="2">
                  <c:v>4.0</c:v>
                </c:pt>
              </c:numCache>
            </c:numRef>
          </c:val>
          <c:extLst xmlns:c16r2="http://schemas.microsoft.com/office/drawing/2015/06/chart">
            <c:ext xmlns:c16="http://schemas.microsoft.com/office/drawing/2014/chart" uri="{C3380CC4-5D6E-409C-BE32-E72D297353CC}">
              <c16:uniqueId val="{00000005-FA3E-4196-AE43-5827F3BCE65A}"/>
            </c:ext>
          </c:extLst>
        </c:ser>
        <c:dLbls>
          <c:showLegendKey val="0"/>
          <c:showVal val="0"/>
          <c:showCatName val="0"/>
          <c:showSerName val="0"/>
          <c:showPercent val="0"/>
          <c:showBubbleSize val="0"/>
          <c:showLeaderLines val="0"/>
        </c:dLbls>
        <c:firstSliceAng val="0"/>
      </c:pieChart>
      <c:spPr>
        <a:noFill/>
        <a:ln w="25400">
          <a:noFill/>
        </a:ln>
      </c:spPr>
    </c:plotArea>
    <c:legend>
      <c:legendPos val="r"/>
      <c:layout>
        <c:manualLayout>
          <c:xMode val="edge"/>
          <c:yMode val="edge"/>
          <c:x val="0.810474555622561"/>
          <c:y val="0.451776649746193"/>
          <c:w val="0.137157232489972"/>
          <c:h val="0.243654822335025"/>
        </c:manualLayout>
      </c:layout>
      <c:overlay val="0"/>
      <c:spPr>
        <a:noFill/>
        <a:ln w="25400">
          <a:noFill/>
        </a:ln>
      </c:spPr>
    </c:legend>
    <c:plotVisOnly val="1"/>
    <c:dispBlanksAs val="gap"/>
    <c:showDLblsOverMax val="0"/>
  </c:chart>
  <c:spPr>
    <a:solidFill>
      <a:srgbClr val="FFFFFF"/>
    </a:solidFill>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04f13-89d3-4113-a8e8-df8a09353a30">ICRC-432-3448</_dlc_DocId>
    <_dlc_DocIdUrl xmlns="cb404f13-89d3-4113-a8e8-df8a09353a30">
      <Url>https://teams.ext.icrc.org/projects/codic/_layouts/DocIdRedir.aspx?ID=ICRC-432-3448</Url>
      <Description>ICRC-432-3448</Description>
    </_dlc_DocIdUrl>
    <ICRCProjActTaxHTField0 xmlns="d8ad915f-1126-446c-8030-8746dcadfaee">
      <Terms xmlns="http://schemas.microsoft.com/office/infopath/2007/PartnerControls">
        <TermInfo xmlns="http://schemas.microsoft.com/office/infopath/2007/PartnerControls">
          <TermName xmlns="http://schemas.microsoft.com/office/infopath/2007/PartnerControls">Preparation</TermName>
          <TermId xmlns="http://schemas.microsoft.com/office/infopath/2007/PartnerControls">2ad40a27-a740-4c33-be69-0df01cf4f931</TermId>
        </TermInfo>
      </Terms>
    </ICRCProjActTaxHTField0>
    <ICRCDocTypeTaxHTField0 xmlns="d8ad915f-1126-446c-8030-8746dcadfaee">
      <Terms xmlns="http://schemas.microsoft.com/office/infopath/2007/PartnerControls"/>
    </ICRCDocTypeTaxHTField0>
    <ICRCTopicsTaxHTField0 xmlns="d8ad915f-1126-446c-8030-8746dcadfaee">
      <Terms xmlns="http://schemas.microsoft.com/office/infopath/2007/PartnerControls"/>
    </ICRCTopicsTaxHTField0>
    <ICRCDocConfidentialityTaxHTField0 xmlns="d8ad915f-1126-446c-8030-8746dcadfaee">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df67cce3-9f4c-43a7-a44f-35ced03acb39</TermId>
        </TermInfo>
      </Terms>
    </ICRCDocConfidentialityTaxHTField0>
    <ICRCCountryTaxHTField0 xmlns="d8ad915f-1126-446c-8030-8746dcadfaee">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d3bea6a6-0b13-4734-9466-bce780a8fd1c</TermId>
        </TermInfo>
      </Terms>
    </ICRCCountryTaxHTField0>
    <ICRCBizFuncTaxHTField0 xmlns="d8ad915f-1126-446c-8030-8746dcadfaee">
      <Terms xmlns="http://schemas.microsoft.com/office/infopath/2007/PartnerControls">
        <TermInfo xmlns="http://schemas.microsoft.com/office/infopath/2007/PartnerControls">
          <TermName xmlns="http://schemas.microsoft.com/office/infopath/2007/PartnerControls">Relation with the Movement</TermName>
          <TermId xmlns="http://schemas.microsoft.com/office/infopath/2007/PartnerControls">f685e344-04cf-4491-8a28-4a4420f4dfb3</TermId>
        </TermInfo>
      </Terms>
    </ICRCBizFuncTaxHTField0>
    <ICRCProjNameTaxHTField0 xmlns="d8ad915f-1126-446c-8030-8746dcadfaee">
      <Terms xmlns="http://schemas.microsoft.com/office/infopath/2007/PartnerControls">
        <TermInfo xmlns="http://schemas.microsoft.com/office/infopath/2007/PartnerControls">
          <TermName xmlns="http://schemas.microsoft.com/office/infopath/2007/PartnerControls">32 Intl Conf CoD organisation</TermName>
          <TermId xmlns="http://schemas.microsoft.com/office/infopath/2007/PartnerControls">e5657a7b-c8e9-4b62-aaf3-eefa2b0d5f72</TermId>
        </TermInfo>
      </Terms>
    </ICRCProjName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CRC Project Document" ma:contentTypeID="0x0101009F95D78E30944AA8AE75142892FBD3270033C2B1E129A58C42BD36D0870E45BF98" ma:contentTypeVersion="5" ma:contentTypeDescription="Use it to upload file within a ProjectSpace" ma:contentTypeScope="" ma:versionID="093d77f552f3e7ac63b6a208446a7efd">
  <xsd:schema xmlns:xsd="http://www.w3.org/2001/XMLSchema" xmlns:xs="http://www.w3.org/2001/XMLSchema" xmlns:p="http://schemas.microsoft.com/office/2006/metadata/properties" xmlns:ns2="cb404f13-89d3-4113-a8e8-df8a09353a30" xmlns:ns3="d8ad915f-1126-446c-8030-8746dcadfaee" targetNamespace="http://schemas.microsoft.com/office/2006/metadata/properties" ma:root="true" ma:fieldsID="8afd94d7e1b11b90c723b6e6e1b72fe9" ns2:_="" ns3:_="">
    <xsd:import namespace="cb404f13-89d3-4113-a8e8-df8a09353a30"/>
    <xsd:import namespace="d8ad915f-1126-446c-8030-8746dcadfaee"/>
    <xsd:element name="properties">
      <xsd:complexType>
        <xsd:sequence>
          <xsd:element name="documentManagement">
            <xsd:complexType>
              <xsd:all>
                <xsd:element ref="ns2:_dlc_DocId" minOccurs="0"/>
                <xsd:element ref="ns2:_dlc_DocIdUrl" minOccurs="0"/>
                <xsd:element ref="ns2:_dlc_DocIdPersistId" minOccurs="0"/>
                <xsd:element ref="ns3:ICRCCountryTaxHTField0" minOccurs="0"/>
                <xsd:element ref="ns3:ICRCBizFuncTaxHTField0" minOccurs="0"/>
                <xsd:element ref="ns3:ICRCDocTypeTaxHTField0" minOccurs="0"/>
                <xsd:element ref="ns3:ICRCDocConfidentialityTaxHTField0" minOccurs="0"/>
                <xsd:element ref="ns3:ICRCTopicsTaxHTField0" minOccurs="0"/>
                <xsd:element ref="ns3:ICRCProjNameTaxHTField0" minOccurs="0"/>
                <xsd:element ref="ns3:ICRCProjAc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04f13-89d3-4113-a8e8-df8a09353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ad915f-1126-446c-8030-8746dcadfaee" elementFormDefault="qualified">
    <xsd:import namespace="http://schemas.microsoft.com/office/2006/documentManagement/types"/>
    <xsd:import namespace="http://schemas.microsoft.com/office/infopath/2007/PartnerControls"/>
    <xsd:element name="ICRCCountryTaxHTField0" ma:index="18" nillable="true" ma:taxonomy="true" ma:internalName="ICRCCountryTaxHTField0" ma:taxonomyFieldName="ICRCCountry" ma:displayName="Country" ma:readOnly="false" ma:fieldId="{43c356ae-dbf9-4781-9db5-36f4e2c43aa5}" ma:taxonomyMulti="true" ma:sspId="063de9ae-39ed-432d-a60f-11f6e5512909" ma:termSetId="699f7bbc-9fb0-4563-b604-873963f75853" ma:anchorId="00000000-0000-0000-0000-000000000000" ma:open="false" ma:isKeyword="false">
      <xsd:complexType>
        <xsd:sequence>
          <xsd:element ref="pc:Terms" minOccurs="0" maxOccurs="1"/>
        </xsd:sequence>
      </xsd:complexType>
    </xsd:element>
    <xsd:element name="ICRCBizFuncTaxHTField0" ma:index="19" nillable="true" ma:taxonomy="true" ma:internalName="ICRCBizFuncTaxHTField0" ma:taxonomyFieldName="ICRCBizFunc" ma:displayName="Business Function" ma:readOnly="false" ma:fieldId="{135f9e93-e411-4f51-a3e4-c80a6701173e}" ma:sspId="063de9ae-39ed-432d-a60f-11f6e5512909" ma:termSetId="5aa6e294-4074-4de8-b034-eae33c7f6456" ma:anchorId="00000000-0000-0000-0000-000000000000" ma:open="false" ma:isKeyword="false">
      <xsd:complexType>
        <xsd:sequence>
          <xsd:element ref="pc:Terms" minOccurs="0" maxOccurs="1"/>
        </xsd:sequence>
      </xsd:complexType>
    </xsd:element>
    <xsd:element name="ICRCDocTypeTaxHTField0" ma:index="20" nillable="true" ma:taxonomy="true" ma:internalName="ICRCDocTypeTaxHTField0" ma:taxonomyFieldName="ICRCDocType" ma:displayName="Document Type" ma:readOnly="false" ma:fieldId="{be9838ba-4f15-4a58-a832-ef14848e4da7}" ma:sspId="063de9ae-39ed-432d-a60f-11f6e5512909" ma:termSetId="7e5aeaf8-2813-4da8-aecc-0f64bd1fdd03" ma:anchorId="00000000-0000-0000-0000-000000000000" ma:open="false" ma:isKeyword="false">
      <xsd:complexType>
        <xsd:sequence>
          <xsd:element ref="pc:Terms" minOccurs="0" maxOccurs="1"/>
        </xsd:sequence>
      </xsd:complexType>
    </xsd:element>
    <xsd:element name="ICRCDocConfidentialityTaxHTField0" ma:index="21" nillable="true" ma:taxonomy="true" ma:internalName="ICRCDocConfidentialityTaxHTField0" ma:taxonomyFieldName="ICRCDocConfidentiality" ma:displayName="Confidentiality" ma:readOnly="false" ma:fieldId="{065c2617-21f6-47e4-87f5-3c0378fecd5d}" ma:sspId="063de9ae-39ed-432d-a60f-11f6e5512909" ma:termSetId="f0021583-4c67-4c81-8d0d-ec943395563e" ma:anchorId="00000000-0000-0000-0000-000000000000" ma:open="false" ma:isKeyword="false">
      <xsd:complexType>
        <xsd:sequence>
          <xsd:element ref="pc:Terms" minOccurs="0" maxOccurs="1"/>
        </xsd:sequence>
      </xsd:complexType>
    </xsd:element>
    <xsd:element name="ICRCTopicsTaxHTField0" ma:index="22" nillable="true" ma:taxonomy="true" ma:internalName="ICRCTopicsTaxHTField0" ma:taxonomyFieldName="ICRCTopics" ma:displayName="Topics" ma:readOnly="false" ma:default="" ma:fieldId="{3c075bcb-7e07-4d9c-acf9-7529be614bbf}" ma:sspId="063de9ae-39ed-432d-a60f-11f6e5512909" ma:termSetId="59cf25eb-4869-4481-92a1-228488998142" ma:anchorId="ed2cf67f-efe7-483a-8961-f15bb28dd36c" ma:open="false" ma:isKeyword="false">
      <xsd:complexType>
        <xsd:sequence>
          <xsd:element ref="pc:Terms" minOccurs="0" maxOccurs="1"/>
        </xsd:sequence>
      </xsd:complexType>
    </xsd:element>
    <xsd:element name="ICRCProjNameTaxHTField0" ma:index="23" nillable="true" ma:taxonomy="true" ma:internalName="ICRCProjNameTaxHTField0" ma:taxonomyFieldName="ICRCProjName" ma:displayName="Project Name" ma:readOnly="false" ma:default="" ma:fieldId="{30e27640-e31c-4037-83ed-c5726e487eb3}" ma:sspId="063de9ae-39ed-432d-a60f-11f6e5512909" ma:termSetId="7835d8f7-871e-4132-8a79-f35a98fd5551" ma:anchorId="00000000-0000-0000-0000-000000000000" ma:open="false" ma:isKeyword="false">
      <xsd:complexType>
        <xsd:sequence>
          <xsd:element ref="pc:Terms" minOccurs="0" maxOccurs="1"/>
        </xsd:sequence>
      </xsd:complexType>
    </xsd:element>
    <xsd:element name="ICRCProjActTaxHTField0" ma:index="24" nillable="true" ma:taxonomy="true" ma:internalName="ICRCProjActTaxHTField0" ma:taxonomyFieldName="ICRCProjAct" ma:displayName="Project Activity" ma:readOnly="false" ma:fieldId="{4d25c197-d51b-41e9-a24b-e2121f808d77}" ma:sspId="063de9ae-39ed-432d-a60f-11f6e5512909" ma:termSetId="7d8cd6dc-bc63-4ab3-a7a7-2e6341b071a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1BFBDE0-8C3E-40A2-B30E-3CE25CA97649}">
  <ds:schemaRefs>
    <ds:schemaRef ds:uri="http://schemas.microsoft.com/office/2006/metadata/properties"/>
    <ds:schemaRef ds:uri="http://schemas.microsoft.com/office/infopath/2007/PartnerControls"/>
    <ds:schemaRef ds:uri="cb404f13-89d3-4113-a8e8-df8a09353a30"/>
    <ds:schemaRef ds:uri="d8ad915f-1126-446c-8030-8746dcadfaee"/>
  </ds:schemaRefs>
</ds:datastoreItem>
</file>

<file path=customXml/itemProps2.xml><?xml version="1.0" encoding="utf-8"?>
<ds:datastoreItem xmlns:ds="http://schemas.openxmlformats.org/officeDocument/2006/customXml" ds:itemID="{14DC3639-D822-4BA6-AB2E-1C07EA14ED34}">
  <ds:schemaRefs>
    <ds:schemaRef ds:uri="http://schemas.microsoft.com/sharepoint/v3/contenttype/forms"/>
  </ds:schemaRefs>
</ds:datastoreItem>
</file>

<file path=customXml/itemProps3.xml><?xml version="1.0" encoding="utf-8"?>
<ds:datastoreItem xmlns:ds="http://schemas.openxmlformats.org/officeDocument/2006/customXml" ds:itemID="{47726108-3F62-482A-8172-0CEA162B92D8}">
  <ds:schemaRefs>
    <ds:schemaRef ds:uri="http://schemas.microsoft.com/sharepoint/events"/>
  </ds:schemaRefs>
</ds:datastoreItem>
</file>

<file path=customXml/itemProps4.xml><?xml version="1.0" encoding="utf-8"?>
<ds:datastoreItem xmlns:ds="http://schemas.openxmlformats.org/officeDocument/2006/customXml" ds:itemID="{FF1F834B-B1F7-472D-937F-C4D221FB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04f13-89d3-4113-a8e8-df8a09353a30"/>
    <ds:schemaRef ds:uri="d8ad915f-1126-446c-8030-8746dcadf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282C0-9D94-2D4D-BBE4-4C031335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\Travail\Documents 2017\English\CoD 2017\templates\CoD 2017 template for report_with logo_with styles_26.07_en.dotx</Template>
  <TotalTime>63</TotalTime>
  <Pages>17</Pages>
  <Words>6572</Words>
  <Characters>35555</Characters>
  <Application>Microsoft Macintosh Word</Application>
  <DocSecurity>0</DocSecurity>
  <Lines>3232</Lines>
  <Paragraphs>2217</Paragraphs>
  <ScaleCrop>false</ScaleCrop>
  <HeadingPairs>
    <vt:vector size="2" baseType="variant">
      <vt:variant>
        <vt:lpstr>Title</vt:lpstr>
      </vt:variant>
      <vt:variant>
        <vt:i4>1</vt:i4>
      </vt:variant>
    </vt:vector>
  </HeadingPairs>
  <TitlesOfParts>
    <vt:vector size="1" baseType="lpstr">
      <vt:lpstr>CoD report template</vt:lpstr>
    </vt:vector>
  </TitlesOfParts>
  <Company>IFRC (Red Cross)</Company>
  <LinksUpToDate>false</LinksUpToDate>
  <CharactersWithSpaces>39910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 report template</dc:title>
  <dc:creator>yulia.gusynina</dc:creator>
  <cp:lastModifiedBy>Мария</cp:lastModifiedBy>
  <cp:revision>23</cp:revision>
  <cp:lastPrinted>2017-08-18T07:26:00Z</cp:lastPrinted>
  <dcterms:created xsi:type="dcterms:W3CDTF">2017-11-01T12:41:00Z</dcterms:created>
  <dcterms:modified xsi:type="dcterms:W3CDTF">2017-11-01T15:37:00Z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0x0101009F95D78E30944AA8AE75142892FBD3270033C2B1E129A58C42BD36D0870E45BF98</vt:lpwstr>
  </property>
  <property fmtid="{D5CDD505-2E9C-101B-9397-08002B2CF9AE}" pid="3" name="ICRCBizFunc">
    <vt:lpwstr>267;#Relation with the Movement|f685e344-04cf-4491-8a28-4a4420f4dfb3</vt:lpwstr>
  </property>
  <property fmtid="{D5CDD505-2E9C-101B-9397-08002B2CF9AE}" pid="4" name="ICRCProjName">
    <vt:lpwstr>560;#32 Intl Conf CoD organisation|e5657a7b-c8e9-4b62-aaf3-eefa2b0d5f72</vt:lpwstr>
  </property>
  <property fmtid="{D5CDD505-2E9C-101B-9397-08002B2CF9AE}" pid="5" name="ICRCProjAct">
    <vt:lpwstr>563;#Preparation|2ad40a27-a740-4c33-be69-0df01cf4f931</vt:lpwstr>
  </property>
  <property fmtid="{D5CDD505-2E9C-101B-9397-08002B2CF9AE}" pid="6" name="ICRCCountry">
    <vt:lpwstr>4;#No Country|d3bea6a6-0b13-4734-9466-bce780a8fd1c</vt:lpwstr>
  </property>
  <property fmtid="{D5CDD505-2E9C-101B-9397-08002B2CF9AE}" pid="7" name="ICRCDocConfidentiality">
    <vt:lpwstr>2;#Internal|df67cce3-9f4c-43a7-a44f-35ced03acb39</vt:lpwstr>
  </property>
  <property fmtid="{D5CDD505-2E9C-101B-9397-08002B2CF9AE}" pid="8" name="ICRCTopics">
    <vt:lpwstr/>
  </property>
  <property fmtid="{D5CDD505-2E9C-101B-9397-08002B2CF9AE}" pid="9" name="ICRCDocType">
    <vt:lpwstr/>
  </property>
  <property fmtid="{D5CDD505-2E9C-101B-9397-08002B2CF9AE}" pid="10" name="_dlc_DocIdItemGuid">
    <vt:lpwstr>258d9a42-a56b-4df4-b249-f2c2c534a9a0</vt:lpwstr>
  </property>
  <property fmtid="{D5CDD505-2E9C-101B-9397-08002B2CF9AE}" pid="11" name="TaxCatchAll">
    <vt:lpwstr>560;#32 Intl Conf CoD organisation|e5657a7b-c8e9-4b62-aaf3-eefa2b0d5f72;#4;#No Country|d3bea6a6-0b13-4734-9466-bce780a8fd1c;#267;#Relation with the Movement|f685e344-04cf-4491-8a28-4a4420f4dfb3;#2;#Internal|df67cce3-9f4c-43a7-a44f-35ced03acb39;#563;#Prepa</vt:lpwstr>
  </property>
</Properties>
</file>