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627.0" w:type="dxa"/>
        <w:jc w:val="left"/>
        <w:tblInd w:w="0.0" w:type="dxa"/>
        <w:tblLayout w:type="fixed"/>
        <w:tblLook w:val="0000"/>
      </w:tblPr>
      <w:tblGrid>
        <w:gridCol w:w="2627"/>
        <w:tblGridChange w:id="0">
          <w:tblGrid>
            <w:gridCol w:w="2627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РУС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CD/17/12DR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Оригинал: на английском языке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Для вынесения решения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СОВЕТ ДЕЛЕГАТОВ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МЕЖДУНАРОДНОГО ДВИЖЕНИЯ КРАСНОГО КРЕСТА И КРАСНОГО ПОЛУМЕСЯЦА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Анталья, Турция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10–11 ноября 2017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Международное гуманитарное право</w:t>
      </w:r>
    </w:p>
    <w:p w:rsidR="00000000" w:rsidDel="00000000" w:rsidP="00000000" w:rsidRDefault="00000000" w:rsidRPr="00000000">
      <w:pPr>
        <w:contextualSpacing w:val="0"/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РЕЗОЛЮЦИИ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Документ подготовлен Международным Комитетом Красного Креста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Женева, сентябрь 2017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headerReference r:id="rId5" w:type="default"/>
          <w:headerReference r:id="rId6" w:type="first"/>
          <w:headerReference r:id="rId7" w:type="even"/>
          <w:footerReference r:id="rId8" w:type="default"/>
          <w:footerReference r:id="rId9" w:type="even"/>
          <w:pgSz w:h="16838" w:w="11906"/>
          <w:pgMar w:bottom="1418" w:top="1418" w:left="1418" w:right="1418" w:header="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 РЕЗОЛЮЦИИ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Международное гуманитарное право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Совет Делегатов,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выражая глубокую озабоченность</w:t>
      </w:r>
      <w:r w:rsidDel="00000000" w:rsidR="00000000" w:rsidRPr="00000000">
        <w:rPr>
          <w:rtl w:val="0"/>
        </w:rPr>
        <w:t xml:space="preserve"> продолжающимися нарушениями международного гуманитарного права (МГП), а также </w:t>
      </w:r>
      <w:r w:rsidDel="00000000" w:rsidR="00000000" w:rsidRPr="00000000">
        <w:rPr>
          <w:i w:val="1"/>
          <w:rtl w:val="0"/>
        </w:rPr>
        <w:t xml:space="preserve">выражая сожаление</w:t>
      </w:r>
      <w:r w:rsidDel="00000000" w:rsidR="00000000" w:rsidRPr="00000000">
        <w:rPr>
          <w:rtl w:val="0"/>
        </w:rPr>
        <w:t xml:space="preserve"> по поводу страданий, которые эти нарушения приносят жертвам вооружённых конфликтов,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подчёркивая</w:t>
      </w:r>
      <w:r w:rsidDel="00000000" w:rsidR="00000000" w:rsidRPr="00000000">
        <w:rPr>
          <w:rtl w:val="0"/>
        </w:rPr>
        <w:t xml:space="preserve"> насущную потребность в повышении уровня соблюдения МГП всеми сторонами вооружённых конфликтов и </w:t>
      </w:r>
      <w:r w:rsidDel="00000000" w:rsidR="00000000" w:rsidRPr="00000000">
        <w:rPr>
          <w:i w:val="1"/>
          <w:rtl w:val="0"/>
        </w:rPr>
        <w:t xml:space="preserve">повторяя</w:t>
      </w:r>
      <w:r w:rsidDel="00000000" w:rsidR="00000000" w:rsidRPr="00000000">
        <w:rPr>
          <w:rtl w:val="0"/>
        </w:rPr>
        <w:t xml:space="preserve">, что возможно сделать больше в отношении имеющихся слабых сторон и пробелов в соблюдении МГП, как признано всеми участниками Международного Движения Красного Креста и Красного Полумесяца (Движение) и государствами на 32-й Международной Конференции Красного Креста и Красного Полумесяца (Международная Конференция),</w:t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выражая особую озабоченность тем</w:t>
      </w:r>
      <w:r w:rsidDel="00000000" w:rsidR="00000000" w:rsidRPr="00000000">
        <w:rPr>
          <w:rtl w:val="0"/>
        </w:rPr>
        <w:t xml:space="preserve">, что люди, лишённые свободы в связи с вооружённым конфликтом, уязвимы перед нарушениями МГП, такими как убийство, насильственное исчезновение, взятие заложников, пытки, жестокое или бесчеловечное обращение, изнасилование и другие формы сексуального насилия, суммарные казни или неудовлетворение их базовых потребностей,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выделяя</w:t>
      </w:r>
      <w:r w:rsidDel="00000000" w:rsidR="00000000" w:rsidRPr="00000000">
        <w:rPr>
          <w:rtl w:val="0"/>
        </w:rPr>
        <w:t xml:space="preserve"> 40-ю годовщину в 2017 году Дополнительных протоколов 1977 года к Женевским Конвенциям 1949 года, относящихся к защите жертв международных вооружённых конфликтов (Дополнительный протокол I), а также к защите жертв вооружённых конфликтов немеждународного характера (Дополнительный протокол II), а также </w:t>
      </w:r>
      <w:r w:rsidDel="00000000" w:rsidR="00000000" w:rsidRPr="00000000">
        <w:rPr>
          <w:i w:val="1"/>
          <w:rtl w:val="0"/>
        </w:rPr>
        <w:t xml:space="preserve">выражая благодарность</w:t>
      </w:r>
      <w:r w:rsidDel="00000000" w:rsidR="00000000" w:rsidRPr="00000000">
        <w:rPr>
          <w:rtl w:val="0"/>
        </w:rPr>
        <w:t xml:space="preserve"> значительному числу государств, которые присоединились к Дополнительным протоколам 1977 года за время, прошедшее с их принятия,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приветствуя</w:t>
      </w:r>
      <w:r w:rsidDel="00000000" w:rsidR="00000000" w:rsidRPr="00000000">
        <w:rPr>
          <w:rtl w:val="0"/>
        </w:rPr>
        <w:t xml:space="preserve"> информационный отчёт к данной резолюции, где описывается работа, выполненная к настоящему моменту по исполнению Резолюций 1 и 2, принятых на 32-й Международной Конференции, а также исследование, проведённое Международным Комитетом Красного Креста (МККК) в 2005 году по вопросам обычного МГП, и сопутствующую базу данных, доступную онлайн с 2010 года,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выражая похвалу</w:t>
      </w:r>
      <w:r w:rsidDel="00000000" w:rsidR="00000000" w:rsidRPr="00000000">
        <w:rPr>
          <w:rtl w:val="0"/>
        </w:rPr>
        <w:t xml:space="preserve"> МККК за его постоянную работу по обновлению Комментариев к Женевским Конвенциям 1949 года и Дополнительным протоколам к ним 1977 года, результатом которой стала публикация обновлённых Комментариев к Первой и Второй Женевским конвенциям в 2016 и 2017 году соответственно,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srw9okoup0e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bookmarkStart w:colFirst="0" w:colLast="0" w:name="_gjdgxs" w:id="1"/>
      <w:bookmarkEnd w:id="1"/>
      <w:r w:rsidDel="00000000" w:rsidR="00000000" w:rsidRPr="00000000">
        <w:rPr>
          <w:i w:val="1"/>
          <w:rtl w:val="0"/>
        </w:rPr>
        <w:t xml:space="preserve">приветствуя</w:t>
      </w:r>
      <w:r w:rsidDel="00000000" w:rsidR="00000000" w:rsidRPr="00000000">
        <w:rPr>
          <w:rtl w:val="0"/>
        </w:rPr>
        <w:t xml:space="preserve"> отчёт о работе, проведённой для исполнения Резолюции 7 Совета Делегатов 2013 года “Оружие и международное гуманитарное право”,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вспоминая</w:t>
      </w:r>
      <w:r w:rsidDel="00000000" w:rsidR="00000000" w:rsidRPr="00000000">
        <w:rPr>
          <w:rtl w:val="0"/>
        </w:rPr>
        <w:t xml:space="preserve"> соответствующие мандаты участников Движения в отношении МГП, которые изложены в Уставе Движения, и </w:t>
      </w:r>
      <w:r w:rsidDel="00000000" w:rsidR="00000000" w:rsidRPr="00000000">
        <w:rPr>
          <w:i w:val="1"/>
          <w:rtl w:val="0"/>
        </w:rPr>
        <w:t xml:space="preserve">отмечая, inter alia, </w:t>
      </w:r>
      <w:r w:rsidDel="00000000" w:rsidR="00000000" w:rsidRPr="00000000">
        <w:rPr>
          <w:rtl w:val="0"/>
        </w:rPr>
        <w:t xml:space="preserve">что национальные общества Красного Креста и Красного Полумесяца (национальные общества) в полном соответствии со своей вспомогательной ролью, могут оказывать ценную поддержку государственным властям в своих государствах, включая исполнение гуманитарных обязательств властей в рамках МГП,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призывает</w:t>
      </w:r>
      <w:r w:rsidDel="00000000" w:rsidR="00000000" w:rsidRPr="00000000">
        <w:rPr>
          <w:rtl w:val="0"/>
        </w:rPr>
        <w:t xml:space="preserve"> все стороны вооружённых конфликтов исполнять свои существующие обязательства в рамках МГП;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подчёркивает</w:t>
      </w:r>
      <w:r w:rsidDel="00000000" w:rsidR="00000000" w:rsidRPr="00000000">
        <w:rPr>
          <w:rtl w:val="0"/>
        </w:rPr>
        <w:t xml:space="preserve"> важный вклад, сделанный принятием Дополнительных Протоколов в 1977 году для защиты жертв международных вооружённых конфликтов и вооружённых конфликтов немеждународного характера, и </w:t>
      </w:r>
      <w:r w:rsidDel="00000000" w:rsidR="00000000" w:rsidRPr="00000000">
        <w:rPr>
          <w:i w:val="1"/>
          <w:rtl w:val="0"/>
        </w:rPr>
        <w:t xml:space="preserve">подчёркивает</w:t>
      </w:r>
      <w:r w:rsidDel="00000000" w:rsidR="00000000" w:rsidRPr="00000000">
        <w:rPr>
          <w:rtl w:val="0"/>
        </w:rPr>
        <w:t xml:space="preserve">, что они по-прежнему актуальны и в условиях современных вооружённых конфликтов, равно как и другие соглашения по МГП, в особенности, Женевские Конвенции 1949 года;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призывает</w:t>
      </w:r>
      <w:r w:rsidDel="00000000" w:rsidR="00000000" w:rsidRPr="00000000">
        <w:rPr>
          <w:rtl w:val="0"/>
        </w:rPr>
        <w:t xml:space="preserve"> государства рассмотреть возможность ратификации договоров по МГП или присоединения к договорам по МГП, стороной которых они пока не являются, включая Дополнительные Протоколы 1977 года, а также принять все необходимые меры для их исполнения, и далее </w:t>
      </w:r>
      <w:r w:rsidDel="00000000" w:rsidR="00000000" w:rsidRPr="00000000">
        <w:rPr>
          <w:i w:val="1"/>
          <w:rtl w:val="0"/>
        </w:rPr>
        <w:t xml:space="preserve">призывает</w:t>
      </w:r>
      <w:r w:rsidDel="00000000" w:rsidR="00000000" w:rsidRPr="00000000">
        <w:rPr>
          <w:rtl w:val="0"/>
        </w:rPr>
        <w:t xml:space="preserve"> государства-члены рассмотреть вопрос принятия компетенции Международной комиссии по установлению фактов согласно статье 90 Дополнительного Протокола I;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приглашает</w:t>
      </w:r>
      <w:r w:rsidDel="00000000" w:rsidR="00000000" w:rsidRPr="00000000">
        <w:rPr>
          <w:rtl w:val="0"/>
        </w:rPr>
        <w:t xml:space="preserve"> участников Движения, согласно их соответствующим мандатам, предложить государствам свою поддержку в этом вопросе;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с благодарностью отмечает</w:t>
      </w:r>
      <w:r w:rsidDel="00000000" w:rsidR="00000000" w:rsidRPr="00000000">
        <w:rPr>
          <w:rtl w:val="0"/>
        </w:rPr>
        <w:t xml:space="preserve"> работу, выполненную МККК к настоящему времени по исполнению Резолюции 1 32-й Международной Конференции, а также работу МККК и Правительства Швейцарии по исполнению Резолюции 2 32-й Международной Конференции;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выражает поддержку</w:t>
      </w:r>
      <w:r w:rsidDel="00000000" w:rsidR="00000000" w:rsidRPr="00000000">
        <w:rPr>
          <w:rtl w:val="0"/>
        </w:rPr>
        <w:t xml:space="preserve"> МККК в его продолжающейся работе по межправительственному процессу в рамках Резолюции 2, одновременно признавая ведущую роль государств в этом процессе;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выражает благодарность </w:t>
      </w:r>
      <w:r w:rsidDel="00000000" w:rsidR="00000000" w:rsidRPr="00000000">
        <w:rPr>
          <w:rtl w:val="0"/>
        </w:rPr>
        <w:t xml:space="preserve">членам, участвующим в Открытой рабочей группе Движения под руководством МККК, относящейся к межправительственному процессу в рамках Резолюции 2, и </w:t>
      </w:r>
      <w:r w:rsidDel="00000000" w:rsidR="00000000" w:rsidRPr="00000000">
        <w:rPr>
          <w:i w:val="1"/>
          <w:rtl w:val="0"/>
        </w:rPr>
        <w:t xml:space="preserve">призывает</w:t>
      </w:r>
      <w:r w:rsidDel="00000000" w:rsidR="00000000" w:rsidRPr="00000000">
        <w:rPr>
          <w:rtl w:val="0"/>
        </w:rPr>
        <w:t xml:space="preserve"> Движение принять участие в работе Группы и поддержать её, включая способствование активному вовлечению государств в этот процесс;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отмечает</w:t>
      </w:r>
      <w:r w:rsidDel="00000000" w:rsidR="00000000" w:rsidRPr="00000000">
        <w:rPr>
          <w:rtl w:val="0"/>
        </w:rPr>
        <w:t xml:space="preserve"> важность, которую МГП по-прежнему имеет для урегулирования современных ворружённых конфликтов, и </w:t>
      </w:r>
      <w:r w:rsidDel="00000000" w:rsidR="00000000" w:rsidRPr="00000000">
        <w:rPr>
          <w:i w:val="1"/>
          <w:rtl w:val="0"/>
        </w:rPr>
        <w:t xml:space="preserve">подчёркивает</w:t>
      </w:r>
      <w:r w:rsidDel="00000000" w:rsidR="00000000" w:rsidRPr="00000000">
        <w:rPr>
          <w:rtl w:val="0"/>
        </w:rPr>
        <w:t xml:space="preserve"> исследование обычного МГП как важный вклад в защиту жертв вооружённых конфликтов;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повторно благодарит </w:t>
      </w:r>
      <w:r w:rsidDel="00000000" w:rsidR="00000000" w:rsidRPr="00000000">
        <w:rPr>
          <w:rtl w:val="0"/>
        </w:rPr>
        <w:t xml:space="preserve">МККК за инициирование в 2007 году совместно с Британским Красным Крестом процесса обновления “практической” части исследования и </w:t>
      </w:r>
      <w:r w:rsidDel="00000000" w:rsidR="00000000" w:rsidRPr="00000000">
        <w:rPr>
          <w:i w:val="1"/>
          <w:rtl w:val="0"/>
        </w:rPr>
        <w:t xml:space="preserve">выражает благодарность</w:t>
      </w:r>
      <w:r w:rsidDel="00000000" w:rsidR="00000000" w:rsidRPr="00000000">
        <w:rPr>
          <w:rtl w:val="0"/>
        </w:rPr>
        <w:t xml:space="preserve"> за совместно выполненную с тех пор работу;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приветствует</w:t>
      </w:r>
      <w:r w:rsidDel="00000000" w:rsidR="00000000" w:rsidRPr="00000000">
        <w:rPr>
          <w:rtl w:val="0"/>
        </w:rPr>
        <w:t xml:space="preserve"> создание онлайн базы данных МККК по обычному МГП в 2010 году, что сделало материалы исследования, а также регулярно обновляемую информацию о практических методах работы в мире широко доступными, а также </w:t>
      </w:r>
      <w:r w:rsidDel="00000000" w:rsidR="00000000" w:rsidRPr="00000000">
        <w:rPr>
          <w:i w:val="1"/>
          <w:rtl w:val="0"/>
        </w:rPr>
        <w:t xml:space="preserve">отмечает</w:t>
      </w:r>
      <w:r w:rsidDel="00000000" w:rsidR="00000000" w:rsidRPr="00000000">
        <w:rPr>
          <w:rtl w:val="0"/>
        </w:rPr>
        <w:t xml:space="preserve"> широкое использование результатов исследования обычного МГП и базы данных в национальных и международных материалах;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выражает благодарность</w:t>
      </w:r>
      <w:r w:rsidDel="00000000" w:rsidR="00000000" w:rsidRPr="00000000">
        <w:rPr>
          <w:rtl w:val="0"/>
        </w:rPr>
        <w:t xml:space="preserve"> всем национальным обществам, государствам, исследователям и делегациям МККК, которые поддержали базу данных, внеся в неё информацию о методах работы в своих государствах за последнее десятилетие, </w:t>
      </w:r>
      <w:r w:rsidDel="00000000" w:rsidR="00000000" w:rsidRPr="00000000">
        <w:rPr>
          <w:i w:val="1"/>
          <w:rtl w:val="0"/>
        </w:rPr>
        <w:t xml:space="preserve">благодарит</w:t>
      </w:r>
      <w:r w:rsidDel="00000000" w:rsidR="00000000" w:rsidRPr="00000000">
        <w:rPr>
          <w:rtl w:val="0"/>
        </w:rPr>
        <w:t xml:space="preserve"> их за любую поддержку, которую они смогут оказать в будущем по этому вопросу, и особенно </w:t>
      </w:r>
      <w:r w:rsidDel="00000000" w:rsidR="00000000" w:rsidRPr="00000000">
        <w:rPr>
          <w:i w:val="1"/>
          <w:rtl w:val="0"/>
        </w:rPr>
        <w:t xml:space="preserve">приветствует</w:t>
      </w:r>
      <w:r w:rsidDel="00000000" w:rsidR="00000000" w:rsidRPr="00000000">
        <w:rPr>
          <w:rtl w:val="0"/>
        </w:rPr>
        <w:t xml:space="preserve"> участие в виде информации о национальных методах работы от дополнительных национальных обществ;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рекомендует </w:t>
      </w:r>
      <w:r w:rsidDel="00000000" w:rsidR="00000000" w:rsidRPr="00000000">
        <w:rPr>
          <w:rtl w:val="0"/>
        </w:rPr>
        <w:t xml:space="preserve">исследование и базу данных всем участникам Движения как основу для дискуссий, где это уместно, с властями государств, представителями вооружённых сил, академических кругов и сторонами вооружённых конфликтов;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приглашает </w:t>
      </w:r>
      <w:r w:rsidDel="00000000" w:rsidR="00000000" w:rsidRPr="00000000">
        <w:rPr>
          <w:rtl w:val="0"/>
        </w:rPr>
        <w:t xml:space="preserve">национальные общества, насколько позволяют их возможности, продолжать как можно шире распространять и пропагандировать результаты исследования, включая использование базы данных, и </w:t>
      </w:r>
      <w:r w:rsidDel="00000000" w:rsidR="00000000" w:rsidRPr="00000000">
        <w:rPr>
          <w:i w:val="1"/>
          <w:rtl w:val="0"/>
        </w:rPr>
        <w:t xml:space="preserve">благодарит</w:t>
      </w:r>
      <w:r w:rsidDel="00000000" w:rsidR="00000000" w:rsidRPr="00000000">
        <w:rPr>
          <w:rtl w:val="0"/>
        </w:rPr>
        <w:t xml:space="preserve"> все национальные общества, которые уже вели такую работу в прошлом.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8" w:top="1418" w:left="1418" w:right="1418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773600" cy="1450800"/>
          <wp:effectExtent b="0" l="0" r="0" t="0"/>
          <wp:docPr descr="M:\Travail\Documents 2017\English\CoD 2017\templates\Logo-RCRC_CoD_2017-EN.jpg" id="1" name="image2.jpg"/>
          <a:graphic>
            <a:graphicData uri="http://schemas.openxmlformats.org/drawingml/2006/picture">
              <pic:pic>
                <pic:nvPicPr>
                  <pic:cNvPr descr="M:\Travail\Documents 2017\English\CoD 2017\templates\Logo-RCRC_CoD_2017-EN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73600" cy="14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